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charts/chart48.xml" ContentType="application/vnd.openxmlformats-officedocument.drawingml.chart+xml"/>
  <Override PartName="/word/charts/chart49.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charts/chart54.xml" ContentType="application/vnd.openxmlformats-officedocument.drawingml.chart+xml"/>
  <Override PartName="/word/charts/chart55.xml" ContentType="application/vnd.openxmlformats-officedocument.drawingml.chart+xml"/>
  <Override PartName="/word/charts/chart56.xml" ContentType="application/vnd.openxmlformats-officedocument.drawingml.chart+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charts/chart60.xml" ContentType="application/vnd.openxmlformats-officedocument.drawingml.chart+xml"/>
  <Override PartName="/word/charts/chart61.xml" ContentType="application/vnd.openxmlformats-officedocument.drawingml.chart+xml"/>
  <Override PartName="/word/charts/chart62.xml" ContentType="application/vnd.openxmlformats-officedocument.drawingml.chart+xml"/>
  <Override PartName="/word/charts/chart63.xml" ContentType="application/vnd.openxmlformats-officedocument.drawingml.chart+xml"/>
  <Override PartName="/word/charts/chart64.xml" ContentType="application/vnd.openxmlformats-officedocument.drawingml.chart+xml"/>
  <Override PartName="/word/charts/chart65.xml" ContentType="application/vnd.openxmlformats-officedocument.drawingml.chart+xml"/>
  <Override PartName="/word/charts/chart66.xml" ContentType="application/vnd.openxmlformats-officedocument.drawingml.chart+xml"/>
  <Override PartName="/word/charts/chart67.xml" ContentType="application/vnd.openxmlformats-officedocument.drawingml.chart+xml"/>
  <Override PartName="/word/charts/chart68.xml" ContentType="application/vnd.openxmlformats-officedocument.drawingml.chart+xml"/>
  <Override PartName="/word/charts/chart69.xml" ContentType="application/vnd.openxmlformats-officedocument.drawingml.chart+xml"/>
  <Override PartName="/word/charts/chart70.xml" ContentType="application/vnd.openxmlformats-officedocument.drawingml.chart+xml"/>
  <Override PartName="/word/charts/chart71.xml" ContentType="application/vnd.openxmlformats-officedocument.drawingml.chart+xml"/>
  <Override PartName="/word/charts/chart72.xml" ContentType="application/vnd.openxmlformats-officedocument.drawingml.chart+xml"/>
  <Override PartName="/word/charts/chart73.xml" ContentType="application/vnd.openxmlformats-officedocument.drawingml.chart+xml"/>
  <Override PartName="/word/charts/chart74.xml" ContentType="application/vnd.openxmlformats-officedocument.drawingml.chart+xml"/>
  <Override PartName="/word/charts/chart75.xml" ContentType="application/vnd.openxmlformats-officedocument.drawingml.chart+xml"/>
  <Override PartName="/word/charts/chart76.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3F28" w:rsidRDefault="00041260">
      <w:pPr>
        <w:widowControl/>
        <w:spacing w:line="240" w:lineRule="auto"/>
        <w:jc w:val="left"/>
        <w:rPr>
          <w:sz w:val="52"/>
          <w:szCs w:val="52"/>
        </w:rPr>
      </w:pPr>
      <w:bookmarkStart w:id="0" w:name="_GoBack"/>
      <w:bookmarkEnd w:id="0"/>
      <w:r>
        <w:rPr>
          <w:noProof/>
          <w:sz w:val="52"/>
          <w:szCs w:val="52"/>
        </w:rPr>
        <w:drawing>
          <wp:anchor distT="0" distB="0" distL="114300" distR="114300" simplePos="0" relativeHeight="251662336" behindDoc="0" locked="0" layoutInCell="1" allowOverlap="1">
            <wp:simplePos x="0" y="0"/>
            <wp:positionH relativeFrom="column">
              <wp:posOffset>-1143000</wp:posOffset>
            </wp:positionH>
            <wp:positionV relativeFrom="paragraph">
              <wp:posOffset>-903605</wp:posOffset>
            </wp:positionV>
            <wp:extent cx="7561580" cy="10695940"/>
            <wp:effectExtent l="0" t="0" r="127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1697" cy="10696142"/>
                    </a:xfrm>
                    <a:prstGeom prst="rect">
                      <a:avLst/>
                    </a:prstGeom>
                  </pic:spPr>
                </pic:pic>
              </a:graphicData>
            </a:graphic>
          </wp:anchor>
        </w:drawing>
      </w:r>
    </w:p>
    <w:p w:rsidR="00603F28" w:rsidRDefault="00041260">
      <w:pPr>
        <w:widowControl/>
        <w:spacing w:line="240" w:lineRule="auto"/>
        <w:jc w:val="left"/>
        <w:rPr>
          <w:sz w:val="52"/>
          <w:szCs w:val="52"/>
        </w:rPr>
      </w:pPr>
      <w:r>
        <w:rPr>
          <w:sz w:val="52"/>
          <w:szCs w:val="52"/>
        </w:rPr>
        <w:br w:type="page"/>
      </w:r>
    </w:p>
    <w:p w:rsidR="00603F28" w:rsidRDefault="00603F28">
      <w:pPr>
        <w:spacing w:before="48"/>
        <w:rPr>
          <w:sz w:val="52"/>
          <w:szCs w:val="52"/>
        </w:rPr>
      </w:pPr>
    </w:p>
    <w:p w:rsidR="00603F28" w:rsidRDefault="00603F28">
      <w:pPr>
        <w:spacing w:before="48"/>
        <w:rPr>
          <w:sz w:val="52"/>
          <w:szCs w:val="52"/>
        </w:rPr>
      </w:pPr>
    </w:p>
    <w:p w:rsidR="00603F28" w:rsidRDefault="00603F28">
      <w:pPr>
        <w:spacing w:before="48"/>
        <w:ind w:firstLineChars="38" w:firstLine="198"/>
        <w:jc w:val="center"/>
        <w:rPr>
          <w:b/>
          <w:bCs/>
          <w:sz w:val="52"/>
          <w:szCs w:val="52"/>
        </w:rPr>
      </w:pPr>
    </w:p>
    <w:p w:rsidR="00603F28" w:rsidRDefault="00041260">
      <w:pPr>
        <w:spacing w:before="48"/>
        <w:ind w:firstLineChars="38" w:firstLine="198"/>
        <w:jc w:val="center"/>
        <w:rPr>
          <w:b/>
          <w:bCs/>
          <w:sz w:val="52"/>
          <w:szCs w:val="52"/>
        </w:rPr>
      </w:pPr>
      <w:r>
        <w:rPr>
          <w:rFonts w:hint="eastAsia"/>
          <w:b/>
          <w:bCs/>
          <w:sz w:val="52"/>
          <w:szCs w:val="52"/>
        </w:rPr>
        <w:t>江西财经大学</w:t>
      </w:r>
    </w:p>
    <w:p w:rsidR="00603F28" w:rsidRDefault="00041260">
      <w:pPr>
        <w:spacing w:before="48"/>
        <w:ind w:firstLineChars="45" w:firstLine="199"/>
        <w:jc w:val="center"/>
        <w:rPr>
          <w:b/>
          <w:bCs/>
          <w:sz w:val="44"/>
          <w:szCs w:val="52"/>
        </w:rPr>
      </w:pPr>
      <w:bookmarkStart w:id="1" w:name="_Hlk529628889"/>
      <w:bookmarkEnd w:id="1"/>
      <w:r>
        <w:rPr>
          <w:b/>
          <w:bCs/>
          <w:sz w:val="44"/>
          <w:szCs w:val="52"/>
        </w:rPr>
        <w:t>2019</w:t>
      </w:r>
      <w:r>
        <w:rPr>
          <w:rFonts w:hint="eastAsia"/>
          <w:b/>
          <w:bCs/>
          <w:sz w:val="44"/>
          <w:szCs w:val="52"/>
        </w:rPr>
        <w:t>年普通本科毕业生</w:t>
      </w:r>
      <w:r>
        <w:rPr>
          <w:b/>
          <w:bCs/>
          <w:sz w:val="44"/>
          <w:szCs w:val="52"/>
        </w:rPr>
        <w:t>就业</w:t>
      </w:r>
      <w:r>
        <w:rPr>
          <w:rFonts w:hint="eastAsia"/>
          <w:b/>
          <w:bCs/>
          <w:sz w:val="44"/>
          <w:szCs w:val="52"/>
        </w:rPr>
        <w:t>质量年度报告</w:t>
      </w:r>
    </w:p>
    <w:p w:rsidR="00603F28" w:rsidRDefault="00041260">
      <w:pPr>
        <w:spacing w:before="48"/>
        <w:ind w:firstLine="883"/>
        <w:jc w:val="center"/>
        <w:rPr>
          <w:sz w:val="44"/>
        </w:rPr>
      </w:pPr>
      <w:r>
        <w:rPr>
          <w:b/>
          <w:bCs/>
          <w:noProof/>
          <w:sz w:val="44"/>
          <w:szCs w:val="52"/>
        </w:rPr>
        <mc:AlternateContent>
          <mc:Choice Requires="wps">
            <w:drawing>
              <wp:anchor distT="0" distB="0" distL="114300" distR="114300" simplePos="0" relativeHeight="251659264" behindDoc="0" locked="0" layoutInCell="1" allowOverlap="1">
                <wp:simplePos x="0" y="0"/>
                <wp:positionH relativeFrom="column">
                  <wp:posOffset>142240</wp:posOffset>
                </wp:positionH>
                <wp:positionV relativeFrom="paragraph">
                  <wp:posOffset>92075</wp:posOffset>
                </wp:positionV>
                <wp:extent cx="5229225" cy="0"/>
                <wp:effectExtent l="0" t="0" r="0" b="0"/>
                <wp:wrapNone/>
                <wp:docPr id="3"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2922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635738EC" id="Straight Connector 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1.2pt,7.25pt" to="422.95pt,7.25pt"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ACy7q8AQAAbgMAAA4AAABkcnMvZTJvRG9jLnhtbKxTTY/bIBC9V+p/QNwbe12laqw4e8h2&#13;&#10;e9m2K6X9ARPANlpgEJA4+fcdyMc27a1aH5CHN/OY9waW9wdr2F6FqNF1/G5Wc6acQKnd0PFfPx8/&#13;&#10;fOYsJnASDDrV8aOK/H71/t1y8q1qcEQjVWBE4mI7+Y6PKfm2qqIYlYU4Q68cgT0GC4nCMFQywETs&#13;&#10;1lRNXX+qJgzSBxQqRtp9OIF8Vfj7Xon0o++jSsx0nHpLZQ1l3Za1Wi2hHQL4UYtzH/AfbVjQjk69&#13;&#10;Uj1AArYL+h8qq0XAiH2aCbQV9r0WqoggOXf1X3I2I3hVxJA70V99im9HK77vnwPTsuMfOXNgaUab&#13;&#10;FEAPY2JrdI4cxMAWnJFRk48t5a/dc8hSxcFt/BOKl5jB6gbNQfTEvJ2+oSRS2CUsBh36YHM1SWeH&#13;&#10;MoLj6yDUITFBu/OmWTTNnDNxBStoL6U+xPRVoWX5p+NGu2wStLB/iqn0Au0lJ+87fNTGZABa49hE&#13;&#10;F3VRz+tSE9FomeEMxjBs1yawPeTrUr4inM6+yQu4c/LENyqQXy5BAm3OAZUYd3YlG3Fyb4vySKZc&#13;&#10;7KKZUsrNpfkzLuWvz2T1GwAA//8DAFBLAwQUAAYACAAAACEATPwbnN4AAAAOAQAADwAAAGRycy9k&#13;&#10;b3ducmV2LnhtbExPTU+DQBC9m/gfNmPizS4SMJSyNFrjpTexUY9bdgQiO0vYLYV/75iY2Msk897M&#13;&#10;+yi2s+3FhKPvHCm4X0UgkGpnOmoUHN5e7jIQPmgyuneEChb0sC2vrwqdG3emV5yq0AgWIZ9rBW0I&#13;&#10;Qy6lr1u02q/cgMTclxutDryOjTSjPrO47WUcRQ/S6o7YodUD7lqsv6uTZZX0I3va6+ywLH31uU52&#13;&#10;7/uJrFK3N/PzhsfjBkTAOfx/wG8Hzg8lBzu6ExkvegVxnPAl40kKgvksSdcgjn+ALAt5WaP8AQAA&#13;&#10;//8DAFBLAQItABQABgAIAAAAIQBaIpOj/wAAAOUBAAATAAAAAAAAAAAAAAAAAAAAAABbQ29udGVu&#13;&#10;dF9UeXBlc10ueG1sUEsBAi0AFAAGAAgAAAAhAKdKzzjXAAAAlgEAAAsAAAAAAAAAAAAAAAAAMAEA&#13;&#10;AF9yZWxzLy5yZWxzUEsBAi0AFAAGAAgAAAAhABACy7q8AQAAbgMAAA4AAAAAAAAAAAAAAAAAMAIA&#13;&#10;AGRycy9lMm9Eb2MueG1sUEsBAi0AFAAGAAgAAAAhAEz8G5zeAAAADgEAAA8AAAAAAAAAAAAAAAAA&#13;&#10;GAQAAGRycy9kb3ducmV2LnhtbFBLBQYAAAAABAAEAPMAAAAjBQAAAAA=&#13;&#10;" strokeweight="1.5pt">
                <o:lock v:ext="edit" shapetype="f"/>
              </v:line>
            </w:pict>
          </mc:Fallback>
        </mc:AlternateContent>
      </w: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880"/>
        <w:jc w:val="center"/>
        <w:rPr>
          <w:sz w:val="44"/>
        </w:rPr>
      </w:pPr>
    </w:p>
    <w:p w:rsidR="00603F28" w:rsidRDefault="00603F28">
      <w:pPr>
        <w:spacing w:before="48"/>
        <w:ind w:firstLine="643"/>
        <w:jc w:val="center"/>
        <w:rPr>
          <w:b/>
          <w:sz w:val="32"/>
        </w:rPr>
      </w:pPr>
    </w:p>
    <w:p w:rsidR="00603F28" w:rsidRDefault="00603F28">
      <w:pPr>
        <w:spacing w:before="48"/>
        <w:ind w:firstLine="643"/>
        <w:jc w:val="center"/>
        <w:rPr>
          <w:b/>
          <w:sz w:val="32"/>
        </w:rPr>
      </w:pPr>
    </w:p>
    <w:p w:rsidR="00603F28" w:rsidRDefault="00603F28">
      <w:pPr>
        <w:spacing w:before="48"/>
        <w:ind w:firstLine="643"/>
        <w:jc w:val="center"/>
        <w:rPr>
          <w:b/>
          <w:sz w:val="32"/>
        </w:rPr>
      </w:pPr>
    </w:p>
    <w:p w:rsidR="00603F28" w:rsidRDefault="00041260">
      <w:pPr>
        <w:spacing w:before="48"/>
        <w:ind w:firstLine="480"/>
        <w:jc w:val="center"/>
        <w:rPr>
          <w:sz w:val="32"/>
          <w:szCs w:val="28"/>
        </w:rPr>
      </w:pPr>
      <w:r>
        <w:rPr>
          <w:rFonts w:hint="eastAsia"/>
          <w:sz w:val="32"/>
          <w:szCs w:val="28"/>
        </w:rPr>
        <w:t>201</w:t>
      </w:r>
      <w:r>
        <w:rPr>
          <w:sz w:val="32"/>
          <w:szCs w:val="28"/>
        </w:rPr>
        <w:t>9</w:t>
      </w:r>
      <w:r>
        <w:rPr>
          <w:rFonts w:hint="eastAsia"/>
          <w:sz w:val="32"/>
          <w:szCs w:val="28"/>
        </w:rPr>
        <w:t>年</w:t>
      </w:r>
      <w:r>
        <w:rPr>
          <w:rFonts w:hint="eastAsia"/>
          <w:sz w:val="32"/>
          <w:szCs w:val="28"/>
        </w:rPr>
        <w:t>1</w:t>
      </w:r>
      <w:r>
        <w:rPr>
          <w:sz w:val="32"/>
          <w:szCs w:val="28"/>
        </w:rPr>
        <w:t>2</w:t>
      </w:r>
      <w:r>
        <w:rPr>
          <w:rFonts w:hint="eastAsia"/>
          <w:sz w:val="32"/>
          <w:szCs w:val="28"/>
        </w:rPr>
        <w:t>月</w:t>
      </w:r>
    </w:p>
    <w:p w:rsidR="00603F28" w:rsidRDefault="00041260">
      <w:pPr>
        <w:spacing w:before="48"/>
        <w:ind w:firstLine="480"/>
        <w:jc w:val="center"/>
        <w:rPr>
          <w:rStyle w:val="10"/>
          <w:rFonts w:ascii="宋体" w:hAnsi="宋体"/>
          <w:b w:val="0"/>
          <w:bCs w:val="0"/>
          <w:szCs w:val="32"/>
        </w:rPr>
      </w:pPr>
      <w:bookmarkStart w:id="2" w:name="_Toc27485560"/>
      <w:bookmarkStart w:id="3" w:name="_Toc27642584"/>
      <w:r>
        <w:rPr>
          <w:rStyle w:val="10"/>
          <w:rFonts w:ascii="宋体" w:hAnsi="宋体" w:hint="eastAsia"/>
          <w:b w:val="0"/>
          <w:bCs w:val="0"/>
          <w:szCs w:val="32"/>
        </w:rPr>
        <w:t>江西财经大学</w:t>
      </w:r>
      <w:bookmarkEnd w:id="2"/>
      <w:bookmarkEnd w:id="3"/>
    </w:p>
    <w:p w:rsidR="00603F28" w:rsidRDefault="00603F28">
      <w:pPr>
        <w:spacing w:before="48"/>
        <w:ind w:firstLine="480"/>
        <w:jc w:val="center"/>
        <w:rPr>
          <w:rStyle w:val="10"/>
          <w:rFonts w:ascii="宋体" w:hAnsi="宋体"/>
          <w:b w:val="0"/>
          <w:bCs w:val="0"/>
          <w:sz w:val="24"/>
          <w:szCs w:val="24"/>
        </w:rPr>
      </w:pPr>
    </w:p>
    <w:p w:rsidR="00603F28" w:rsidRDefault="00603F28">
      <w:pPr>
        <w:spacing w:before="48"/>
        <w:ind w:firstLine="480"/>
        <w:jc w:val="center"/>
        <w:rPr>
          <w:rStyle w:val="10"/>
          <w:rFonts w:ascii="宋体" w:hAnsi="宋体"/>
          <w:b w:val="0"/>
          <w:bCs w:val="0"/>
          <w:sz w:val="24"/>
          <w:szCs w:val="24"/>
        </w:rPr>
      </w:pPr>
    </w:p>
    <w:p w:rsidR="00603F28" w:rsidRDefault="00041260">
      <w:pPr>
        <w:rPr>
          <w:rFonts w:ascii="宋体" w:hAnsi="宋体"/>
          <w:kern w:val="44"/>
          <w:sz w:val="24"/>
          <w:szCs w:val="24"/>
        </w:rPr>
      </w:pPr>
      <w:r>
        <w:rPr>
          <w:rFonts w:ascii="宋体" w:hAnsi="宋体"/>
          <w:kern w:val="44"/>
          <w:sz w:val="24"/>
          <w:szCs w:val="24"/>
        </w:rPr>
        <w:br w:type="page"/>
      </w:r>
    </w:p>
    <w:p w:rsidR="00603F28" w:rsidRDefault="00041260">
      <w:pPr>
        <w:spacing w:before="48"/>
        <w:jc w:val="center"/>
        <w:rPr>
          <w:rFonts w:ascii="微软雅黑" w:eastAsia="微软雅黑" w:hAnsi="微软雅黑" w:cs="微软雅黑"/>
          <w:b/>
          <w:kern w:val="44"/>
          <w:sz w:val="30"/>
          <w:szCs w:val="30"/>
        </w:rPr>
      </w:pPr>
      <w:r>
        <w:rPr>
          <w:rFonts w:ascii="微软雅黑" w:eastAsia="微软雅黑" w:hAnsi="微软雅黑" w:cs="微软雅黑" w:hint="eastAsia"/>
          <w:b/>
          <w:sz w:val="30"/>
          <w:szCs w:val="30"/>
          <w:lang w:val="zh-CN"/>
        </w:rPr>
        <w:lastRenderedPageBreak/>
        <w:t>目</w:t>
      </w:r>
      <w:r>
        <w:rPr>
          <w:rFonts w:ascii="微软雅黑" w:eastAsia="微软雅黑" w:hAnsi="微软雅黑" w:cs="微软雅黑" w:hint="eastAsia"/>
          <w:b/>
          <w:sz w:val="30"/>
          <w:szCs w:val="30"/>
        </w:rPr>
        <w:t xml:space="preserve">    </w:t>
      </w:r>
      <w:r>
        <w:rPr>
          <w:rFonts w:ascii="微软雅黑" w:eastAsia="微软雅黑" w:hAnsi="微软雅黑" w:cs="微软雅黑" w:hint="eastAsia"/>
          <w:b/>
          <w:sz w:val="30"/>
          <w:szCs w:val="30"/>
          <w:lang w:val="zh-CN"/>
        </w:rPr>
        <w:t>录</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前言</w:t>
      </w:r>
      <w:r>
        <w:rPr>
          <w:rFonts w:eastAsia="微软雅黑" w:cs="Times New Roman"/>
          <w:b/>
          <w:bCs/>
          <w:kern w:val="44"/>
          <w:sz w:val="24"/>
          <w:szCs w:val="24"/>
        </w:rPr>
        <w:tab/>
        <w:t>I</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报告说明</w:t>
      </w:r>
      <w:r>
        <w:rPr>
          <w:rFonts w:eastAsia="微软雅黑" w:cs="Times New Roman"/>
          <w:b/>
          <w:bCs/>
          <w:kern w:val="44"/>
          <w:sz w:val="24"/>
          <w:szCs w:val="24"/>
        </w:rPr>
        <w:tab/>
        <w:t>II</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第一章</w:t>
      </w:r>
      <w:r>
        <w:rPr>
          <w:rFonts w:eastAsia="微软雅黑" w:cs="Times New Roman"/>
          <w:b/>
          <w:bCs/>
          <w:kern w:val="44"/>
          <w:sz w:val="24"/>
          <w:szCs w:val="24"/>
        </w:rPr>
        <w:t xml:space="preserve">  2019</w:t>
      </w:r>
      <w:r>
        <w:rPr>
          <w:rFonts w:eastAsia="微软雅黑" w:cs="Times New Roman"/>
          <w:b/>
          <w:bCs/>
          <w:kern w:val="44"/>
          <w:sz w:val="24"/>
          <w:szCs w:val="24"/>
        </w:rPr>
        <w:t>届毕业生生源及就业情况</w:t>
      </w:r>
      <w:r>
        <w:rPr>
          <w:rFonts w:eastAsia="微软雅黑" w:cs="Times New Roman"/>
          <w:b/>
          <w:bCs/>
          <w:kern w:val="44"/>
          <w:sz w:val="24"/>
          <w:szCs w:val="24"/>
        </w:rPr>
        <w:tab/>
        <w:t>1</w:t>
      </w:r>
    </w:p>
    <w:p w:rsidR="00603F28" w:rsidRDefault="00041260">
      <w:pPr>
        <w:tabs>
          <w:tab w:val="right" w:leader="middleDot" w:pos="8190"/>
        </w:tabs>
        <w:spacing w:before="20" w:line="400" w:lineRule="exact"/>
        <w:ind w:firstLineChars="200" w:firstLine="480"/>
        <w:rPr>
          <w:rFonts w:eastAsia="微软雅黑" w:cs="Times New Roman"/>
          <w:b/>
          <w:bCs/>
          <w:kern w:val="44"/>
          <w:sz w:val="24"/>
          <w:szCs w:val="24"/>
        </w:rPr>
      </w:pPr>
      <w:r>
        <w:rPr>
          <w:rFonts w:cs="Times New Roman"/>
          <w:kern w:val="44"/>
          <w:sz w:val="24"/>
          <w:szCs w:val="24"/>
        </w:rPr>
        <w:t>一、毕业生规模及结构</w:t>
      </w:r>
      <w:r>
        <w:rPr>
          <w:rFonts w:eastAsia="微软雅黑" w:cs="Times New Roman"/>
          <w:b/>
          <w:bCs/>
          <w:kern w:val="44"/>
          <w:sz w:val="24"/>
          <w:szCs w:val="24"/>
        </w:rPr>
        <w:tab/>
        <w:t>1</w:t>
      </w:r>
    </w:p>
    <w:p w:rsidR="00603F28" w:rsidRDefault="00041260">
      <w:pPr>
        <w:tabs>
          <w:tab w:val="right" w:leader="middleDot" w:pos="8190"/>
        </w:tabs>
        <w:spacing w:before="20" w:line="400" w:lineRule="exact"/>
        <w:ind w:firstLineChars="400" w:firstLine="960"/>
        <w:rPr>
          <w:rFonts w:eastAsia="微软雅黑" w:cs="Times New Roman"/>
          <w:b/>
          <w:bCs/>
          <w:kern w:val="44"/>
          <w:sz w:val="24"/>
          <w:szCs w:val="24"/>
        </w:rPr>
      </w:pPr>
      <w:r>
        <w:rPr>
          <w:rFonts w:eastAsia="华文楷体" w:cs="Times New Roman"/>
          <w:kern w:val="44"/>
          <w:sz w:val="24"/>
          <w:szCs w:val="24"/>
        </w:rPr>
        <w:t>（一）毕业生总体规模</w:t>
      </w:r>
      <w:r>
        <w:rPr>
          <w:rFonts w:eastAsia="微软雅黑" w:cs="Times New Roman"/>
          <w:b/>
          <w:bCs/>
          <w:kern w:val="44"/>
          <w:sz w:val="24"/>
          <w:szCs w:val="24"/>
        </w:rPr>
        <w:tab/>
        <w:t>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（二）毕业生结构</w:t>
      </w:r>
      <w:r>
        <w:rPr>
          <w:rFonts w:eastAsia="华文楷体" w:cs="Times New Roman"/>
          <w:kern w:val="44"/>
          <w:sz w:val="24"/>
          <w:szCs w:val="24"/>
        </w:rPr>
        <w:tab/>
      </w:r>
      <w:r>
        <w:rPr>
          <w:rFonts w:eastAsia="华文楷体" w:cs="Times New Roman"/>
          <w:kern w:val="44"/>
          <w:sz w:val="24"/>
          <w:szCs w:val="24"/>
        </w:rPr>
        <w:t>1</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二、毕业生就业率及就业类型</w:t>
      </w:r>
      <w:r>
        <w:rPr>
          <w:rFonts w:cs="Times New Roman"/>
          <w:kern w:val="44"/>
          <w:sz w:val="24"/>
          <w:szCs w:val="24"/>
        </w:rPr>
        <w:tab/>
      </w:r>
      <w:r>
        <w:rPr>
          <w:rFonts w:cs="Times New Roman"/>
          <w:kern w:val="44"/>
          <w:sz w:val="24"/>
          <w:szCs w:val="24"/>
        </w:rPr>
        <w:t>6</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（一）毕业生就业率</w:t>
      </w:r>
      <w:r>
        <w:rPr>
          <w:rFonts w:eastAsia="华文楷体" w:cs="Times New Roman"/>
          <w:kern w:val="44"/>
          <w:sz w:val="24"/>
          <w:szCs w:val="24"/>
        </w:rPr>
        <w:tab/>
      </w:r>
      <w:r>
        <w:rPr>
          <w:rFonts w:eastAsia="华文楷体" w:cs="Times New Roman"/>
          <w:kern w:val="44"/>
          <w:sz w:val="24"/>
          <w:szCs w:val="24"/>
        </w:rPr>
        <w:t>6</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（二）毕业生就业类型</w:t>
      </w:r>
      <w:r>
        <w:rPr>
          <w:rFonts w:eastAsia="华文楷体" w:cs="Times New Roman"/>
          <w:kern w:val="44"/>
          <w:sz w:val="24"/>
          <w:szCs w:val="24"/>
        </w:rPr>
        <w:tab/>
      </w:r>
      <w:r>
        <w:rPr>
          <w:rFonts w:eastAsia="华文楷体" w:cs="Times New Roman"/>
          <w:kern w:val="44"/>
          <w:sz w:val="24"/>
          <w:szCs w:val="24"/>
        </w:rPr>
        <w:t>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（三）毕业生就业去向</w:t>
      </w:r>
      <w:r>
        <w:rPr>
          <w:rFonts w:eastAsia="华文楷体" w:cs="Times New Roman"/>
          <w:kern w:val="44"/>
          <w:sz w:val="24"/>
          <w:szCs w:val="24"/>
        </w:rPr>
        <w:tab/>
      </w:r>
      <w:r>
        <w:rPr>
          <w:rFonts w:eastAsia="华文楷体" w:cs="Times New Roman"/>
          <w:kern w:val="44"/>
          <w:sz w:val="24"/>
          <w:szCs w:val="24"/>
        </w:rPr>
        <w:t>10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三、毕业生就业流向</w:t>
      </w:r>
      <w:r>
        <w:rPr>
          <w:rFonts w:cs="Times New Roman"/>
          <w:kern w:val="44"/>
          <w:sz w:val="24"/>
          <w:szCs w:val="24"/>
        </w:rPr>
        <w:tab/>
      </w:r>
      <w:r>
        <w:rPr>
          <w:rFonts w:cs="Times New Roman"/>
          <w:kern w:val="44"/>
          <w:sz w:val="24"/>
          <w:szCs w:val="24"/>
        </w:rPr>
        <w:t>11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（一）毕业生就业行业</w:t>
      </w:r>
      <w:r>
        <w:rPr>
          <w:rFonts w:eastAsia="华文楷体" w:cs="Times New Roman"/>
          <w:kern w:val="44"/>
          <w:sz w:val="24"/>
          <w:szCs w:val="24"/>
        </w:rPr>
        <w:tab/>
      </w:r>
      <w:r>
        <w:rPr>
          <w:rFonts w:eastAsia="华文楷体" w:cs="Times New Roman"/>
          <w:kern w:val="44"/>
          <w:sz w:val="24"/>
          <w:szCs w:val="24"/>
        </w:rPr>
        <w:t>11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（二）毕业生就业地区</w:t>
      </w:r>
      <w:r>
        <w:rPr>
          <w:rFonts w:eastAsia="华文楷体" w:cs="Times New Roman"/>
          <w:kern w:val="44"/>
          <w:sz w:val="24"/>
          <w:szCs w:val="24"/>
        </w:rPr>
        <w:tab/>
      </w:r>
      <w:r>
        <w:rPr>
          <w:rFonts w:eastAsia="华文楷体" w:cs="Times New Roman"/>
          <w:kern w:val="44"/>
          <w:sz w:val="24"/>
          <w:szCs w:val="24"/>
        </w:rPr>
        <w:t>13</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（三）毕业生就业单位性质</w:t>
      </w:r>
      <w:r>
        <w:rPr>
          <w:rFonts w:eastAsia="华文楷体" w:cs="Times New Roman"/>
          <w:kern w:val="44"/>
          <w:sz w:val="24"/>
          <w:szCs w:val="24"/>
        </w:rPr>
        <w:tab/>
      </w:r>
      <w:r>
        <w:rPr>
          <w:rFonts w:eastAsia="华文楷体" w:cs="Times New Roman"/>
          <w:kern w:val="44"/>
          <w:sz w:val="24"/>
          <w:szCs w:val="24"/>
        </w:rPr>
        <w:t>14</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（四）毕业生就业职位类型</w:t>
      </w:r>
      <w:r>
        <w:rPr>
          <w:rFonts w:eastAsia="华文楷体" w:cs="Times New Roman"/>
          <w:kern w:val="44"/>
          <w:sz w:val="24"/>
          <w:szCs w:val="24"/>
        </w:rPr>
        <w:tab/>
      </w:r>
      <w:r>
        <w:rPr>
          <w:rFonts w:eastAsia="华文楷体" w:cs="Times New Roman"/>
          <w:kern w:val="44"/>
          <w:sz w:val="24"/>
          <w:szCs w:val="24"/>
        </w:rPr>
        <w:t>15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（五）签约世界强就业情况</w:t>
      </w:r>
      <w:r>
        <w:rPr>
          <w:rFonts w:eastAsia="华文楷体" w:cs="Times New Roman"/>
          <w:kern w:val="44"/>
          <w:sz w:val="24"/>
          <w:szCs w:val="24"/>
        </w:rPr>
        <w:tab/>
      </w:r>
      <w:r>
        <w:rPr>
          <w:rFonts w:eastAsia="华文楷体" w:cs="Times New Roman"/>
          <w:kern w:val="44"/>
          <w:sz w:val="24"/>
          <w:szCs w:val="24"/>
        </w:rPr>
        <w:t>15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（六）典型就业单位就业情况</w:t>
      </w:r>
      <w:r>
        <w:rPr>
          <w:rFonts w:eastAsia="华文楷体" w:cs="Times New Roman"/>
          <w:kern w:val="44"/>
          <w:sz w:val="24"/>
          <w:szCs w:val="24"/>
        </w:rPr>
        <w:tab/>
      </w:r>
      <w:r>
        <w:rPr>
          <w:rFonts w:eastAsia="华文楷体" w:cs="Times New Roman"/>
          <w:kern w:val="44"/>
          <w:sz w:val="24"/>
          <w:szCs w:val="24"/>
        </w:rPr>
        <w:t>17</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（七）基层就业情况</w:t>
      </w:r>
      <w:r>
        <w:rPr>
          <w:rFonts w:eastAsia="华文楷体" w:cs="Times New Roman"/>
          <w:kern w:val="44"/>
          <w:sz w:val="24"/>
          <w:szCs w:val="24"/>
        </w:rPr>
        <w:tab/>
      </w:r>
      <w:r>
        <w:rPr>
          <w:rFonts w:eastAsia="华文楷体" w:cs="Times New Roman"/>
          <w:kern w:val="44"/>
          <w:sz w:val="24"/>
          <w:szCs w:val="24"/>
        </w:rPr>
        <w:t>17</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（八）西部就业情况</w:t>
      </w:r>
      <w:r>
        <w:rPr>
          <w:rFonts w:eastAsia="华文楷体" w:cs="Times New Roman"/>
          <w:kern w:val="44"/>
          <w:sz w:val="24"/>
          <w:szCs w:val="24"/>
        </w:rPr>
        <w:tab/>
      </w:r>
      <w:r>
        <w:rPr>
          <w:rFonts w:eastAsia="华文楷体" w:cs="Times New Roman"/>
          <w:kern w:val="44"/>
          <w:sz w:val="24"/>
          <w:szCs w:val="24"/>
        </w:rPr>
        <w:t>18</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（九）省内就业情况</w:t>
      </w:r>
      <w:r>
        <w:rPr>
          <w:rFonts w:eastAsia="华文楷体" w:cs="Times New Roman"/>
          <w:kern w:val="44"/>
          <w:sz w:val="24"/>
          <w:szCs w:val="24"/>
        </w:rPr>
        <w:tab/>
      </w:r>
      <w:r>
        <w:rPr>
          <w:rFonts w:eastAsia="华文楷体" w:cs="Times New Roman"/>
          <w:kern w:val="44"/>
          <w:sz w:val="24"/>
          <w:szCs w:val="24"/>
        </w:rPr>
        <w:t>18</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四、毕业生自主创业情况</w:t>
      </w:r>
      <w:r>
        <w:rPr>
          <w:rFonts w:cs="Times New Roman"/>
          <w:kern w:val="44"/>
          <w:sz w:val="24"/>
          <w:szCs w:val="24"/>
        </w:rPr>
        <w:tab/>
      </w:r>
      <w:r>
        <w:rPr>
          <w:rFonts w:cs="Times New Roman"/>
          <w:kern w:val="44"/>
          <w:sz w:val="24"/>
          <w:szCs w:val="24"/>
        </w:rPr>
        <w:t>23</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五、毕业生国（境）内、外升学情况</w:t>
      </w:r>
      <w:r>
        <w:rPr>
          <w:rFonts w:cs="Times New Roman"/>
          <w:kern w:val="44"/>
          <w:sz w:val="24"/>
          <w:szCs w:val="24"/>
        </w:rPr>
        <w:tab/>
      </w:r>
      <w:r>
        <w:rPr>
          <w:rFonts w:cs="Times New Roman"/>
          <w:kern w:val="44"/>
          <w:sz w:val="24"/>
          <w:szCs w:val="24"/>
        </w:rPr>
        <w:t>24</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六、双困毕业生就业情况</w:t>
      </w:r>
      <w:r>
        <w:rPr>
          <w:rFonts w:cs="Times New Roman"/>
          <w:kern w:val="44"/>
          <w:sz w:val="24"/>
          <w:szCs w:val="24"/>
        </w:rPr>
        <w:tab/>
      </w:r>
      <w:r>
        <w:rPr>
          <w:rFonts w:cs="Times New Roman"/>
          <w:kern w:val="44"/>
          <w:sz w:val="24"/>
          <w:szCs w:val="24"/>
        </w:rPr>
        <w:t>28</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第二章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届毕业生校园招聘情况</w:t>
      </w:r>
      <w:r>
        <w:rPr>
          <w:rFonts w:eastAsia="微软雅黑" w:cs="Times New Roman"/>
          <w:b/>
          <w:bCs/>
          <w:kern w:val="44"/>
          <w:sz w:val="24"/>
          <w:szCs w:val="24"/>
        </w:rPr>
        <w:tab/>
      </w:r>
      <w:r>
        <w:rPr>
          <w:rFonts w:eastAsia="微软雅黑" w:cs="Times New Roman"/>
          <w:b/>
          <w:bCs/>
          <w:kern w:val="44"/>
          <w:sz w:val="24"/>
          <w:szCs w:val="24"/>
        </w:rPr>
        <w:t>30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一、校园招聘开展情况</w:t>
      </w:r>
      <w:r>
        <w:rPr>
          <w:rFonts w:cs="Times New Roman"/>
          <w:kern w:val="44"/>
          <w:sz w:val="24"/>
          <w:szCs w:val="24"/>
        </w:rPr>
        <w:tab/>
      </w:r>
      <w:r>
        <w:rPr>
          <w:rFonts w:cs="Times New Roman"/>
          <w:kern w:val="44"/>
          <w:sz w:val="24"/>
          <w:szCs w:val="24"/>
        </w:rPr>
        <w:t>30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二、专场招聘企业行业</w:t>
      </w:r>
      <w:r>
        <w:rPr>
          <w:rFonts w:cs="Times New Roman"/>
          <w:kern w:val="44"/>
          <w:sz w:val="24"/>
          <w:szCs w:val="24"/>
        </w:rPr>
        <w:tab/>
      </w:r>
      <w:r>
        <w:rPr>
          <w:rFonts w:cs="Times New Roman"/>
          <w:kern w:val="44"/>
          <w:sz w:val="24"/>
          <w:szCs w:val="24"/>
        </w:rPr>
        <w:t>31</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三、专场招聘会企业所在地</w:t>
      </w:r>
      <w:r>
        <w:rPr>
          <w:rFonts w:cs="Times New Roman"/>
          <w:kern w:val="44"/>
          <w:sz w:val="24"/>
          <w:szCs w:val="24"/>
        </w:rPr>
        <w:tab/>
      </w:r>
      <w:r>
        <w:rPr>
          <w:rFonts w:cs="Times New Roman"/>
          <w:kern w:val="44"/>
          <w:sz w:val="24"/>
          <w:szCs w:val="24"/>
        </w:rPr>
        <w:t>31</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四、专场招聘会企业单位性质</w:t>
      </w:r>
      <w:r>
        <w:rPr>
          <w:rFonts w:cs="Times New Roman"/>
          <w:kern w:val="44"/>
          <w:sz w:val="24"/>
          <w:szCs w:val="24"/>
        </w:rPr>
        <w:tab/>
      </w:r>
      <w:r>
        <w:rPr>
          <w:rFonts w:cs="Times New Roman"/>
          <w:kern w:val="44"/>
          <w:sz w:val="24"/>
          <w:szCs w:val="24"/>
        </w:rPr>
        <w:t>32</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五、知名企业招聘情况</w:t>
      </w:r>
      <w:r>
        <w:rPr>
          <w:rFonts w:cs="Times New Roman"/>
          <w:kern w:val="44"/>
          <w:sz w:val="24"/>
          <w:szCs w:val="24"/>
        </w:rPr>
        <w:tab/>
      </w:r>
      <w:r>
        <w:rPr>
          <w:rFonts w:cs="Times New Roman"/>
          <w:kern w:val="44"/>
          <w:sz w:val="24"/>
          <w:szCs w:val="24"/>
        </w:rPr>
        <w:t>33</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第三章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届毕业生离校</w:t>
      </w:r>
      <w:r>
        <w:rPr>
          <w:rFonts w:eastAsia="微软雅黑" w:cs="Times New Roman"/>
          <w:b/>
          <w:bCs/>
          <w:kern w:val="44"/>
          <w:sz w:val="24"/>
          <w:szCs w:val="24"/>
        </w:rPr>
        <w:t>-</w:t>
      </w:r>
      <w:r>
        <w:rPr>
          <w:rFonts w:eastAsia="微软雅黑" w:cs="Times New Roman"/>
          <w:b/>
          <w:bCs/>
          <w:kern w:val="44"/>
          <w:sz w:val="24"/>
          <w:szCs w:val="24"/>
        </w:rPr>
        <w:t>个月就业质量跟踪调研</w:t>
      </w:r>
      <w:r>
        <w:rPr>
          <w:rFonts w:eastAsia="微软雅黑" w:cs="Times New Roman"/>
          <w:b/>
          <w:bCs/>
          <w:kern w:val="44"/>
          <w:sz w:val="24"/>
          <w:szCs w:val="24"/>
        </w:rPr>
        <w:tab/>
      </w:r>
      <w:r>
        <w:rPr>
          <w:rFonts w:eastAsia="微软雅黑" w:cs="Times New Roman"/>
          <w:b/>
          <w:bCs/>
          <w:kern w:val="44"/>
          <w:sz w:val="24"/>
          <w:szCs w:val="24"/>
        </w:rPr>
        <w:t>34</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一、就业满意度</w:t>
      </w:r>
      <w:r>
        <w:rPr>
          <w:rFonts w:cs="Times New Roman"/>
          <w:kern w:val="44"/>
          <w:sz w:val="24"/>
          <w:szCs w:val="24"/>
        </w:rPr>
        <w:tab/>
      </w:r>
      <w:r>
        <w:rPr>
          <w:rFonts w:cs="Times New Roman"/>
          <w:kern w:val="44"/>
          <w:sz w:val="24"/>
          <w:szCs w:val="24"/>
        </w:rPr>
        <w:t>34</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lastRenderedPageBreak/>
        <w:t>二、人职适配</w:t>
      </w:r>
      <w:r>
        <w:rPr>
          <w:rFonts w:cs="Times New Roman"/>
          <w:kern w:val="44"/>
          <w:sz w:val="24"/>
          <w:szCs w:val="24"/>
        </w:rPr>
        <w:tab/>
      </w:r>
      <w:r>
        <w:rPr>
          <w:rFonts w:cs="Times New Roman"/>
          <w:kern w:val="44"/>
          <w:sz w:val="24"/>
          <w:szCs w:val="24"/>
        </w:rPr>
        <w:t>35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（一）专业相关度</w:t>
      </w:r>
      <w:r>
        <w:rPr>
          <w:rFonts w:eastAsia="华文楷体" w:cs="Times New Roman"/>
          <w:kern w:val="44"/>
          <w:sz w:val="24"/>
          <w:szCs w:val="24"/>
        </w:rPr>
        <w:tab/>
      </w:r>
      <w:r>
        <w:rPr>
          <w:rFonts w:eastAsia="华文楷体" w:cs="Times New Roman"/>
          <w:kern w:val="44"/>
          <w:sz w:val="24"/>
          <w:szCs w:val="24"/>
        </w:rPr>
        <w:t>35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（二）期待吻合度</w:t>
      </w:r>
      <w:r>
        <w:rPr>
          <w:rFonts w:eastAsia="华文楷体" w:cs="Times New Roman"/>
          <w:kern w:val="44"/>
          <w:sz w:val="24"/>
          <w:szCs w:val="24"/>
        </w:rPr>
        <w:tab/>
      </w:r>
      <w:r>
        <w:rPr>
          <w:rFonts w:eastAsia="华文楷体" w:cs="Times New Roman"/>
          <w:kern w:val="44"/>
          <w:sz w:val="24"/>
          <w:szCs w:val="24"/>
        </w:rPr>
        <w:t>36</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三、薪资福利</w:t>
      </w:r>
      <w:r>
        <w:rPr>
          <w:rFonts w:cs="Times New Roman"/>
          <w:kern w:val="44"/>
          <w:sz w:val="24"/>
          <w:szCs w:val="24"/>
        </w:rPr>
        <w:tab/>
      </w:r>
      <w:r>
        <w:rPr>
          <w:rFonts w:cs="Times New Roman"/>
          <w:kern w:val="44"/>
          <w:sz w:val="24"/>
          <w:szCs w:val="24"/>
        </w:rPr>
        <w:t>37</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（一）薪资水平和满意度</w:t>
      </w:r>
      <w:r>
        <w:rPr>
          <w:rFonts w:eastAsia="华文楷体" w:cs="Times New Roman"/>
          <w:kern w:val="44"/>
          <w:sz w:val="24"/>
          <w:szCs w:val="24"/>
        </w:rPr>
        <w:tab/>
      </w:r>
      <w:r>
        <w:rPr>
          <w:rFonts w:eastAsia="华文楷体" w:cs="Times New Roman"/>
          <w:kern w:val="44"/>
          <w:sz w:val="24"/>
          <w:szCs w:val="24"/>
        </w:rPr>
        <w:t>37</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（二）期望薪资达成率</w:t>
      </w:r>
      <w:r>
        <w:rPr>
          <w:rFonts w:eastAsia="华文楷体" w:cs="Times New Roman"/>
          <w:kern w:val="44"/>
          <w:sz w:val="24"/>
          <w:szCs w:val="24"/>
        </w:rPr>
        <w:tab/>
      </w:r>
      <w:r>
        <w:rPr>
          <w:rFonts w:eastAsia="华文楷体" w:cs="Times New Roman"/>
          <w:kern w:val="44"/>
          <w:sz w:val="24"/>
          <w:szCs w:val="24"/>
        </w:rPr>
        <w:t>39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（三）社会保障情况及满意度</w:t>
      </w:r>
      <w:r>
        <w:rPr>
          <w:rFonts w:eastAsia="华文楷体" w:cs="Times New Roman"/>
          <w:kern w:val="44"/>
          <w:sz w:val="24"/>
          <w:szCs w:val="24"/>
        </w:rPr>
        <w:tab/>
      </w:r>
      <w:r>
        <w:rPr>
          <w:rFonts w:eastAsia="华文楷体" w:cs="Times New Roman"/>
          <w:kern w:val="44"/>
          <w:sz w:val="24"/>
          <w:szCs w:val="24"/>
        </w:rPr>
        <w:t>40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四、岗位评价</w:t>
      </w:r>
      <w:r>
        <w:rPr>
          <w:rFonts w:cs="Times New Roman"/>
          <w:kern w:val="44"/>
          <w:sz w:val="24"/>
          <w:szCs w:val="24"/>
        </w:rPr>
        <w:tab/>
      </w:r>
      <w:r>
        <w:rPr>
          <w:rFonts w:cs="Times New Roman"/>
          <w:kern w:val="44"/>
          <w:sz w:val="24"/>
          <w:szCs w:val="24"/>
        </w:rPr>
        <w:t>40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五、就业发展评价</w:t>
      </w:r>
      <w:r>
        <w:rPr>
          <w:rFonts w:cs="Times New Roman"/>
          <w:kern w:val="44"/>
          <w:sz w:val="24"/>
          <w:szCs w:val="24"/>
        </w:rPr>
        <w:tab/>
      </w:r>
      <w:r>
        <w:rPr>
          <w:rFonts w:cs="Times New Roman"/>
          <w:kern w:val="44"/>
          <w:sz w:val="24"/>
          <w:szCs w:val="24"/>
        </w:rPr>
        <w:t>41</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六、离职情况</w:t>
      </w:r>
      <w:r>
        <w:rPr>
          <w:rFonts w:cs="Times New Roman"/>
          <w:kern w:val="44"/>
          <w:sz w:val="24"/>
          <w:szCs w:val="24"/>
        </w:rPr>
        <w:tab/>
      </w:r>
      <w:r>
        <w:rPr>
          <w:rFonts w:cs="Times New Roman"/>
          <w:kern w:val="44"/>
          <w:sz w:val="24"/>
          <w:szCs w:val="24"/>
        </w:rPr>
        <w:t>41</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七、毕业生就业质量综合评价</w:t>
      </w:r>
      <w:r>
        <w:rPr>
          <w:rFonts w:cs="Times New Roman"/>
          <w:kern w:val="44"/>
          <w:sz w:val="24"/>
          <w:szCs w:val="24"/>
        </w:rPr>
        <w:tab/>
      </w:r>
      <w:r>
        <w:rPr>
          <w:rFonts w:cs="Times New Roman"/>
          <w:kern w:val="44"/>
          <w:sz w:val="24"/>
          <w:szCs w:val="24"/>
        </w:rPr>
        <w:t>43</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第四章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届毕业生择业因素调研分析</w:t>
      </w:r>
      <w:r>
        <w:rPr>
          <w:rFonts w:eastAsia="微软雅黑" w:cs="Times New Roman"/>
          <w:b/>
          <w:bCs/>
          <w:kern w:val="44"/>
          <w:sz w:val="24"/>
          <w:szCs w:val="24"/>
        </w:rPr>
        <w:tab/>
      </w:r>
      <w:r>
        <w:rPr>
          <w:rFonts w:eastAsia="微软雅黑" w:cs="Times New Roman"/>
          <w:b/>
          <w:bCs/>
          <w:kern w:val="44"/>
          <w:sz w:val="24"/>
          <w:szCs w:val="24"/>
        </w:rPr>
        <w:t>46</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一、求职行为分析</w:t>
      </w:r>
      <w:r>
        <w:rPr>
          <w:rFonts w:cs="Times New Roman"/>
          <w:kern w:val="44"/>
          <w:sz w:val="24"/>
          <w:szCs w:val="24"/>
        </w:rPr>
        <w:tab/>
      </w:r>
      <w:r>
        <w:rPr>
          <w:rFonts w:cs="Times New Roman"/>
          <w:kern w:val="44"/>
          <w:sz w:val="24"/>
          <w:szCs w:val="24"/>
        </w:rPr>
        <w:t>46</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（一）已就业毕业生求职行为分析</w:t>
      </w:r>
      <w:r>
        <w:rPr>
          <w:rFonts w:eastAsia="华文楷体" w:cs="Times New Roman"/>
          <w:kern w:val="44"/>
          <w:sz w:val="24"/>
          <w:szCs w:val="24"/>
        </w:rPr>
        <w:tab/>
      </w:r>
      <w:r>
        <w:rPr>
          <w:rFonts w:eastAsia="华文楷体" w:cs="Times New Roman"/>
          <w:kern w:val="44"/>
          <w:sz w:val="24"/>
          <w:szCs w:val="24"/>
        </w:rPr>
        <w:t>45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（二）未就业毕业生求职行为分析</w:t>
      </w:r>
      <w:r>
        <w:rPr>
          <w:rFonts w:eastAsia="华文楷体" w:cs="Times New Roman"/>
          <w:kern w:val="44"/>
          <w:sz w:val="24"/>
          <w:szCs w:val="24"/>
        </w:rPr>
        <w:tab/>
      </w:r>
      <w:r>
        <w:rPr>
          <w:rFonts w:eastAsia="华文楷体" w:cs="Times New Roman"/>
          <w:kern w:val="44"/>
          <w:sz w:val="24"/>
          <w:szCs w:val="24"/>
        </w:rPr>
        <w:t>50</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（三）已就业和未就业毕业生求职行为对比分析</w:t>
      </w:r>
      <w:r>
        <w:rPr>
          <w:rFonts w:eastAsia="华文楷体" w:cs="Times New Roman"/>
          <w:kern w:val="44"/>
          <w:sz w:val="24"/>
          <w:szCs w:val="24"/>
        </w:rPr>
        <w:tab/>
      </w:r>
      <w:r>
        <w:rPr>
          <w:rFonts w:eastAsia="华文楷体" w:cs="Times New Roman"/>
          <w:kern w:val="44"/>
          <w:sz w:val="24"/>
          <w:szCs w:val="24"/>
        </w:rPr>
        <w:t>53</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二、国（境）内外升学情况分析</w:t>
      </w:r>
      <w:r>
        <w:rPr>
          <w:rFonts w:cs="Times New Roman"/>
          <w:kern w:val="44"/>
          <w:sz w:val="24"/>
          <w:szCs w:val="24"/>
        </w:rPr>
        <w:tab/>
      </w:r>
      <w:r>
        <w:rPr>
          <w:rFonts w:cs="Times New Roman"/>
          <w:kern w:val="44"/>
          <w:sz w:val="24"/>
          <w:szCs w:val="24"/>
        </w:rPr>
        <w:t>56</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三、自主创业情况分析</w:t>
      </w:r>
      <w:r>
        <w:rPr>
          <w:rFonts w:cs="Times New Roman"/>
          <w:kern w:val="44"/>
          <w:sz w:val="24"/>
          <w:szCs w:val="24"/>
        </w:rPr>
        <w:tab/>
      </w:r>
      <w:r>
        <w:rPr>
          <w:rFonts w:cs="Times New Roman"/>
          <w:kern w:val="44"/>
          <w:sz w:val="24"/>
          <w:szCs w:val="24"/>
        </w:rPr>
        <w:t>58</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四、留赣就业情况分析</w:t>
      </w:r>
      <w:r>
        <w:rPr>
          <w:rFonts w:cs="Times New Roman"/>
          <w:kern w:val="44"/>
          <w:sz w:val="24"/>
          <w:szCs w:val="24"/>
        </w:rPr>
        <w:tab/>
      </w:r>
      <w:r>
        <w:rPr>
          <w:rFonts w:cs="Times New Roman"/>
          <w:kern w:val="44"/>
          <w:sz w:val="24"/>
          <w:szCs w:val="24"/>
        </w:rPr>
        <w:t>63</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第五章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届毕业生及用人单位教育教学反馈</w:t>
      </w:r>
      <w:r>
        <w:rPr>
          <w:rFonts w:eastAsia="微软雅黑" w:cs="Times New Roman"/>
          <w:b/>
          <w:bCs/>
          <w:kern w:val="44"/>
          <w:sz w:val="24"/>
          <w:szCs w:val="24"/>
        </w:rPr>
        <w:tab/>
      </w:r>
      <w:r>
        <w:rPr>
          <w:rFonts w:eastAsia="微软雅黑" w:cs="Times New Roman"/>
          <w:b/>
          <w:bCs/>
          <w:kern w:val="44"/>
          <w:sz w:val="24"/>
          <w:szCs w:val="24"/>
        </w:rPr>
        <w:t>66</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一、毕业生对母校评价</w:t>
      </w:r>
      <w:r>
        <w:rPr>
          <w:rFonts w:cs="Times New Roman"/>
          <w:kern w:val="44"/>
          <w:sz w:val="24"/>
          <w:szCs w:val="24"/>
        </w:rPr>
        <w:tab/>
      </w:r>
      <w:r>
        <w:rPr>
          <w:rFonts w:cs="Times New Roman"/>
          <w:kern w:val="44"/>
          <w:sz w:val="24"/>
          <w:szCs w:val="24"/>
        </w:rPr>
        <w:t>66</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（一）毕业生母校总体评价</w:t>
      </w:r>
      <w:r>
        <w:rPr>
          <w:rFonts w:eastAsia="华文楷体" w:cs="Times New Roman"/>
          <w:kern w:val="44"/>
          <w:sz w:val="24"/>
          <w:szCs w:val="24"/>
        </w:rPr>
        <w:tab/>
      </w:r>
      <w:r>
        <w:rPr>
          <w:rFonts w:eastAsia="华文楷体" w:cs="Times New Roman"/>
          <w:kern w:val="44"/>
          <w:sz w:val="24"/>
          <w:szCs w:val="24"/>
        </w:rPr>
        <w:t>66</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（二）毕业生对人才培养评价</w:t>
      </w:r>
      <w:r>
        <w:rPr>
          <w:rFonts w:eastAsia="华文楷体" w:cs="Times New Roman"/>
          <w:kern w:val="44"/>
          <w:sz w:val="24"/>
          <w:szCs w:val="24"/>
        </w:rPr>
        <w:tab/>
      </w:r>
      <w:r>
        <w:rPr>
          <w:rFonts w:eastAsia="华文楷体" w:cs="Times New Roman"/>
          <w:kern w:val="44"/>
          <w:sz w:val="24"/>
          <w:szCs w:val="24"/>
        </w:rPr>
        <w:t>67</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（三）毕业生对专业课程设置评价</w:t>
      </w:r>
      <w:r>
        <w:rPr>
          <w:rFonts w:eastAsia="华文楷体" w:cs="Times New Roman"/>
          <w:kern w:val="44"/>
          <w:sz w:val="24"/>
          <w:szCs w:val="24"/>
        </w:rPr>
        <w:tab/>
      </w:r>
      <w:r>
        <w:rPr>
          <w:rFonts w:eastAsia="华文楷体" w:cs="Times New Roman"/>
          <w:kern w:val="44"/>
          <w:sz w:val="24"/>
          <w:szCs w:val="24"/>
        </w:rPr>
        <w:t>69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（四）毕业生对教师教学评价</w:t>
      </w:r>
      <w:r>
        <w:rPr>
          <w:rFonts w:eastAsia="华文楷体" w:cs="Times New Roman"/>
          <w:kern w:val="44"/>
          <w:sz w:val="24"/>
          <w:szCs w:val="24"/>
        </w:rPr>
        <w:tab/>
      </w:r>
      <w:r>
        <w:rPr>
          <w:rFonts w:eastAsia="华文楷体" w:cs="Times New Roman"/>
          <w:kern w:val="44"/>
          <w:sz w:val="24"/>
          <w:szCs w:val="24"/>
        </w:rPr>
        <w:t>73</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（五）毕业生对实践教学评价</w:t>
      </w:r>
      <w:r>
        <w:rPr>
          <w:rFonts w:eastAsia="华文楷体" w:cs="Times New Roman"/>
          <w:kern w:val="44"/>
          <w:sz w:val="24"/>
          <w:szCs w:val="24"/>
        </w:rPr>
        <w:tab/>
      </w:r>
      <w:r>
        <w:rPr>
          <w:rFonts w:eastAsia="华文楷体" w:cs="Times New Roman"/>
          <w:kern w:val="44"/>
          <w:sz w:val="24"/>
          <w:szCs w:val="24"/>
        </w:rPr>
        <w:t>74</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（六）毕业生对就业管理和就业指导服务评价</w:t>
      </w:r>
      <w:r>
        <w:rPr>
          <w:rFonts w:eastAsia="华文楷体" w:cs="Times New Roman"/>
          <w:kern w:val="44"/>
          <w:sz w:val="24"/>
          <w:szCs w:val="24"/>
        </w:rPr>
        <w:tab/>
      </w:r>
      <w:r>
        <w:rPr>
          <w:rFonts w:eastAsia="华文楷体" w:cs="Times New Roman"/>
          <w:kern w:val="44"/>
          <w:sz w:val="24"/>
          <w:szCs w:val="24"/>
        </w:rPr>
        <w:t>76</w:t>
      </w:r>
    </w:p>
    <w:p w:rsidR="00603F28" w:rsidRDefault="00041260">
      <w:pPr>
        <w:tabs>
          <w:tab w:val="right" w:leader="middleDot" w:pos="8190"/>
        </w:tabs>
        <w:spacing w:before="20" w:line="400" w:lineRule="exact"/>
        <w:ind w:firstLineChars="400" w:firstLine="960"/>
        <w:rPr>
          <w:rFonts w:eastAsia="微软雅黑" w:cs="Times New Roman"/>
          <w:b/>
          <w:bCs/>
          <w:kern w:val="44"/>
          <w:sz w:val="24"/>
          <w:szCs w:val="24"/>
        </w:rPr>
      </w:pPr>
      <w:r>
        <w:rPr>
          <w:rFonts w:eastAsia="华文楷体" w:cs="Times New Roman"/>
          <w:kern w:val="44"/>
          <w:sz w:val="24"/>
          <w:szCs w:val="24"/>
        </w:rPr>
        <w:t>（七）母校培养对毕业生综合素质提升</w:t>
      </w:r>
      <w:r>
        <w:rPr>
          <w:rFonts w:eastAsia="华文楷体" w:cs="Times New Roman"/>
          <w:kern w:val="44"/>
          <w:sz w:val="24"/>
          <w:szCs w:val="24"/>
        </w:rPr>
        <w:tab/>
      </w:r>
      <w:r>
        <w:rPr>
          <w:rFonts w:eastAsia="华文楷体" w:cs="Times New Roman"/>
          <w:kern w:val="44"/>
          <w:sz w:val="24"/>
          <w:szCs w:val="24"/>
        </w:rPr>
        <w:t>78</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二、用人单位评价</w:t>
      </w:r>
      <w:r>
        <w:rPr>
          <w:rFonts w:cs="Times New Roman"/>
          <w:kern w:val="44"/>
          <w:sz w:val="24"/>
          <w:szCs w:val="24"/>
        </w:rPr>
        <w:tab/>
      </w:r>
      <w:r>
        <w:rPr>
          <w:rFonts w:cs="Times New Roman"/>
          <w:kern w:val="44"/>
          <w:sz w:val="24"/>
          <w:szCs w:val="24"/>
        </w:rPr>
        <w:t>78</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（一）用人单位基本情况</w:t>
      </w:r>
      <w:r>
        <w:rPr>
          <w:rFonts w:eastAsia="华文楷体" w:cs="Times New Roman"/>
          <w:kern w:val="44"/>
          <w:sz w:val="24"/>
          <w:szCs w:val="24"/>
        </w:rPr>
        <w:tab/>
      </w:r>
      <w:r>
        <w:rPr>
          <w:rFonts w:eastAsia="华文楷体" w:cs="Times New Roman"/>
          <w:kern w:val="44"/>
          <w:sz w:val="24"/>
          <w:szCs w:val="24"/>
        </w:rPr>
        <w:t>79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（二）用人单位招聘需求情况</w:t>
      </w:r>
      <w:r>
        <w:rPr>
          <w:rFonts w:eastAsia="华文楷体" w:cs="Times New Roman"/>
          <w:kern w:val="44"/>
          <w:sz w:val="24"/>
          <w:szCs w:val="24"/>
        </w:rPr>
        <w:tab/>
      </w:r>
      <w:r>
        <w:rPr>
          <w:rFonts w:eastAsia="华文楷体" w:cs="Times New Roman"/>
          <w:kern w:val="44"/>
          <w:sz w:val="24"/>
          <w:szCs w:val="24"/>
        </w:rPr>
        <w:t>81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（三）用人单位对毕业生评价</w:t>
      </w:r>
      <w:r>
        <w:rPr>
          <w:rFonts w:eastAsia="华文楷体" w:cs="Times New Roman"/>
          <w:kern w:val="44"/>
          <w:sz w:val="24"/>
          <w:szCs w:val="24"/>
        </w:rPr>
        <w:tab/>
      </w:r>
      <w:r>
        <w:rPr>
          <w:rFonts w:eastAsia="华文楷体" w:cs="Times New Roman"/>
          <w:kern w:val="44"/>
          <w:sz w:val="24"/>
          <w:szCs w:val="24"/>
        </w:rPr>
        <w:t>85</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（四）用人单位对学校评价</w:t>
      </w:r>
      <w:r>
        <w:rPr>
          <w:rFonts w:eastAsia="华文楷体" w:cs="Times New Roman"/>
          <w:kern w:val="44"/>
          <w:sz w:val="24"/>
          <w:szCs w:val="24"/>
        </w:rPr>
        <w:tab/>
      </w:r>
      <w:r>
        <w:rPr>
          <w:rFonts w:eastAsia="华文楷体" w:cs="Times New Roman"/>
          <w:kern w:val="44"/>
          <w:sz w:val="24"/>
          <w:szCs w:val="24"/>
        </w:rPr>
        <w:t>87</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lastRenderedPageBreak/>
        <w:t>第六章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年毕业生及用人单位调研反馈分析总结</w:t>
      </w:r>
      <w:r>
        <w:rPr>
          <w:rFonts w:eastAsia="微软雅黑" w:cs="Times New Roman"/>
          <w:b/>
          <w:bCs/>
          <w:kern w:val="44"/>
          <w:sz w:val="24"/>
          <w:szCs w:val="24"/>
        </w:rPr>
        <w:tab/>
      </w:r>
      <w:r>
        <w:rPr>
          <w:rFonts w:eastAsia="微软雅黑" w:cs="Times New Roman"/>
          <w:b/>
          <w:bCs/>
          <w:kern w:val="44"/>
          <w:sz w:val="24"/>
          <w:szCs w:val="24"/>
        </w:rPr>
        <w:t>90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一、就业质量：毕业生就业结构合理，就业质量高</w:t>
      </w:r>
      <w:r>
        <w:rPr>
          <w:rFonts w:cs="Times New Roman"/>
          <w:kern w:val="44"/>
          <w:sz w:val="24"/>
          <w:szCs w:val="24"/>
        </w:rPr>
        <w:tab/>
      </w:r>
      <w:r>
        <w:rPr>
          <w:rFonts w:cs="Times New Roman"/>
          <w:kern w:val="44"/>
          <w:sz w:val="24"/>
          <w:szCs w:val="24"/>
        </w:rPr>
        <w:t>90</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（一）毕业生升学高校层次高，自主创业氛围好</w:t>
      </w:r>
      <w:r>
        <w:rPr>
          <w:rFonts w:eastAsia="华文楷体" w:cs="Times New Roman"/>
          <w:kern w:val="44"/>
          <w:sz w:val="24"/>
          <w:szCs w:val="24"/>
        </w:rPr>
        <w:tab/>
      </w:r>
      <w:r>
        <w:rPr>
          <w:rFonts w:eastAsia="华文楷体" w:cs="Times New Roman"/>
          <w:kern w:val="44"/>
          <w:sz w:val="24"/>
          <w:szCs w:val="24"/>
        </w:rPr>
        <w:t>90</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（二）毕业生就业满意度高，人职匹配度高</w:t>
      </w:r>
      <w:r>
        <w:rPr>
          <w:rFonts w:eastAsia="华文楷体" w:cs="Times New Roman"/>
          <w:kern w:val="44"/>
          <w:sz w:val="24"/>
          <w:szCs w:val="24"/>
        </w:rPr>
        <w:tab/>
      </w:r>
      <w:r>
        <w:rPr>
          <w:rFonts w:eastAsia="华文楷体" w:cs="Times New Roman"/>
          <w:kern w:val="44"/>
          <w:sz w:val="24"/>
          <w:szCs w:val="24"/>
        </w:rPr>
        <w:t>90</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二、行业就业：就业彰显学科优势，服务国家地方经济发展</w:t>
      </w:r>
      <w:r>
        <w:rPr>
          <w:rFonts w:cs="Times New Roman"/>
          <w:kern w:val="44"/>
          <w:sz w:val="24"/>
          <w:szCs w:val="24"/>
        </w:rPr>
        <w:tab/>
      </w:r>
      <w:r>
        <w:rPr>
          <w:rFonts w:cs="Times New Roman"/>
          <w:kern w:val="44"/>
          <w:sz w:val="24"/>
          <w:szCs w:val="24"/>
        </w:rPr>
        <w:t>91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（一）金融业、制造业行业带动就业明显，提升人才培养达成度</w:t>
      </w:r>
      <w:r>
        <w:rPr>
          <w:rFonts w:eastAsia="华文楷体" w:cs="Times New Roman"/>
          <w:kern w:val="44"/>
          <w:sz w:val="24"/>
          <w:szCs w:val="24"/>
        </w:rPr>
        <w:tab/>
      </w:r>
      <w:r>
        <w:rPr>
          <w:rFonts w:eastAsia="华文楷体" w:cs="Times New Roman"/>
          <w:kern w:val="44"/>
          <w:sz w:val="24"/>
          <w:szCs w:val="24"/>
        </w:rPr>
        <w:t>91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（二）毕业生就业服务国家地方发展战略，彰显家国情怀</w:t>
      </w:r>
      <w:r>
        <w:rPr>
          <w:rFonts w:eastAsia="华文楷体" w:cs="Times New Roman"/>
          <w:kern w:val="44"/>
          <w:sz w:val="24"/>
          <w:szCs w:val="24"/>
        </w:rPr>
        <w:tab/>
      </w:r>
      <w:r>
        <w:rPr>
          <w:rFonts w:eastAsia="华文楷体" w:cs="Times New Roman"/>
          <w:kern w:val="44"/>
          <w:sz w:val="24"/>
          <w:szCs w:val="24"/>
        </w:rPr>
        <w:t>92</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三、教育教学：毕业生及用人单位满意度高，提升毕业生适应度</w:t>
      </w:r>
      <w:r>
        <w:rPr>
          <w:rFonts w:cs="Times New Roman"/>
          <w:kern w:val="44"/>
          <w:sz w:val="24"/>
          <w:szCs w:val="24"/>
        </w:rPr>
        <w:tab/>
      </w:r>
      <w:r>
        <w:rPr>
          <w:rFonts w:cs="Times New Roman"/>
          <w:kern w:val="44"/>
          <w:sz w:val="24"/>
          <w:szCs w:val="24"/>
        </w:rPr>
        <w:t>9</w:t>
      </w:r>
      <w:r>
        <w:rPr>
          <w:rFonts w:cs="Times New Roman"/>
          <w:kern w:val="44"/>
          <w:sz w:val="24"/>
          <w:szCs w:val="24"/>
        </w:rPr>
        <w:t>3</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（一）毕业生母校满意度高，用人单位认可毕业生能力素质</w:t>
      </w:r>
      <w:r>
        <w:rPr>
          <w:rFonts w:eastAsia="华文楷体" w:cs="Times New Roman"/>
          <w:kern w:val="44"/>
          <w:sz w:val="24"/>
          <w:szCs w:val="24"/>
        </w:rPr>
        <w:tab/>
      </w:r>
      <w:r>
        <w:rPr>
          <w:rFonts w:eastAsia="华文楷体" w:cs="Times New Roman"/>
          <w:kern w:val="44"/>
          <w:sz w:val="24"/>
          <w:szCs w:val="24"/>
        </w:rPr>
        <w:t>93</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（二）优化教育教学结构，提升毕业生就业适应度</w:t>
      </w:r>
      <w:r>
        <w:rPr>
          <w:rFonts w:eastAsia="华文楷体" w:cs="Times New Roman"/>
          <w:kern w:val="44"/>
          <w:sz w:val="24"/>
          <w:szCs w:val="24"/>
        </w:rPr>
        <w:tab/>
      </w:r>
      <w:r>
        <w:rPr>
          <w:rFonts w:eastAsia="华文楷体" w:cs="Times New Roman"/>
          <w:kern w:val="44"/>
          <w:sz w:val="24"/>
          <w:szCs w:val="24"/>
        </w:rPr>
        <w:t>93</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四、就业服务：毕业生及用人单位认可度高，精细化就业服务</w:t>
      </w:r>
      <w:r>
        <w:rPr>
          <w:rFonts w:cs="Times New Roman"/>
          <w:kern w:val="44"/>
          <w:sz w:val="24"/>
          <w:szCs w:val="24"/>
        </w:rPr>
        <w:tab/>
      </w:r>
      <w:r>
        <w:rPr>
          <w:rFonts w:cs="Times New Roman"/>
          <w:kern w:val="44"/>
          <w:sz w:val="24"/>
          <w:szCs w:val="24"/>
        </w:rPr>
        <w:t>94</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第七章</w:t>
      </w:r>
      <w:r>
        <w:rPr>
          <w:rFonts w:eastAsia="微软雅黑" w:cs="Times New Roman"/>
          <w:b/>
          <w:bCs/>
          <w:kern w:val="44"/>
          <w:sz w:val="24"/>
          <w:szCs w:val="24"/>
        </w:rPr>
        <w:t xml:space="preserve">  </w:t>
      </w:r>
      <w:r>
        <w:rPr>
          <w:rFonts w:eastAsia="微软雅黑" w:cs="Times New Roman"/>
          <w:b/>
          <w:bCs/>
          <w:kern w:val="44"/>
          <w:sz w:val="24"/>
          <w:szCs w:val="24"/>
        </w:rPr>
        <w:t>2019</w:t>
      </w:r>
      <w:r>
        <w:rPr>
          <w:rFonts w:eastAsia="微软雅黑" w:cs="Times New Roman"/>
          <w:b/>
          <w:bCs/>
          <w:kern w:val="44"/>
          <w:sz w:val="24"/>
          <w:szCs w:val="24"/>
        </w:rPr>
        <w:t>届毕业生就业工作特色</w:t>
      </w:r>
      <w:r>
        <w:rPr>
          <w:rFonts w:eastAsia="微软雅黑" w:cs="Times New Roman"/>
          <w:b/>
          <w:bCs/>
          <w:kern w:val="44"/>
          <w:sz w:val="24"/>
          <w:szCs w:val="24"/>
        </w:rPr>
        <w:tab/>
      </w:r>
      <w:r>
        <w:rPr>
          <w:rFonts w:eastAsia="微软雅黑" w:cs="Times New Roman"/>
          <w:b/>
          <w:bCs/>
          <w:kern w:val="44"/>
          <w:sz w:val="24"/>
          <w:szCs w:val="24"/>
        </w:rPr>
        <w:t>96</w:t>
      </w:r>
    </w:p>
    <w:p w:rsidR="00603F28" w:rsidRDefault="00041260">
      <w:pPr>
        <w:tabs>
          <w:tab w:val="right" w:leader="middleDot" w:pos="8190"/>
        </w:tabs>
        <w:spacing w:before="20" w:line="400" w:lineRule="exact"/>
        <w:rPr>
          <w:rFonts w:eastAsia="微软雅黑" w:cs="Times New Roman"/>
          <w:b/>
          <w:bCs/>
          <w:kern w:val="44"/>
          <w:sz w:val="24"/>
          <w:szCs w:val="24"/>
        </w:rPr>
      </w:pPr>
      <w:r>
        <w:rPr>
          <w:rFonts w:eastAsia="微软雅黑" w:cs="Times New Roman"/>
          <w:b/>
          <w:bCs/>
          <w:kern w:val="44"/>
          <w:sz w:val="24"/>
          <w:szCs w:val="24"/>
        </w:rPr>
        <w:t>第八章</w:t>
      </w:r>
      <w:r>
        <w:rPr>
          <w:rFonts w:eastAsia="微软雅黑" w:cs="Times New Roman"/>
          <w:b/>
          <w:bCs/>
          <w:kern w:val="44"/>
          <w:sz w:val="24"/>
          <w:szCs w:val="24"/>
        </w:rPr>
        <w:t xml:space="preserve">  </w:t>
      </w:r>
      <w:r>
        <w:rPr>
          <w:rFonts w:eastAsia="微软雅黑" w:cs="Times New Roman"/>
          <w:b/>
          <w:bCs/>
          <w:kern w:val="44"/>
          <w:sz w:val="24"/>
          <w:szCs w:val="24"/>
        </w:rPr>
        <w:t>2020</w:t>
      </w:r>
      <w:r>
        <w:rPr>
          <w:rFonts w:eastAsia="微软雅黑" w:cs="Times New Roman"/>
          <w:b/>
          <w:bCs/>
          <w:kern w:val="44"/>
          <w:sz w:val="24"/>
          <w:szCs w:val="24"/>
        </w:rPr>
        <w:t>届毕业生就业趋势分析及应对</w:t>
      </w:r>
      <w:r>
        <w:rPr>
          <w:rFonts w:eastAsia="微软雅黑" w:cs="Times New Roman"/>
          <w:b/>
          <w:bCs/>
          <w:kern w:val="44"/>
          <w:sz w:val="24"/>
          <w:szCs w:val="24"/>
        </w:rPr>
        <w:tab/>
      </w:r>
      <w:r>
        <w:rPr>
          <w:rFonts w:eastAsia="微软雅黑" w:cs="Times New Roman"/>
          <w:b/>
          <w:bCs/>
          <w:kern w:val="44"/>
          <w:sz w:val="24"/>
          <w:szCs w:val="24"/>
        </w:rPr>
        <w:t>99</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一、本校近三届毕业生就业发展趋势</w:t>
      </w:r>
      <w:r>
        <w:rPr>
          <w:rFonts w:cs="Times New Roman"/>
          <w:kern w:val="44"/>
          <w:sz w:val="24"/>
          <w:szCs w:val="24"/>
        </w:rPr>
        <w:tab/>
      </w:r>
      <w:r>
        <w:rPr>
          <w:rFonts w:cs="Times New Roman"/>
          <w:kern w:val="44"/>
          <w:sz w:val="24"/>
          <w:szCs w:val="24"/>
        </w:rPr>
        <w:t>99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（一）就业率变化趋势</w:t>
      </w:r>
      <w:r>
        <w:rPr>
          <w:rFonts w:eastAsia="华文楷体" w:cs="Times New Roman"/>
          <w:kern w:val="44"/>
          <w:sz w:val="24"/>
          <w:szCs w:val="24"/>
        </w:rPr>
        <w:tab/>
      </w:r>
      <w:r>
        <w:rPr>
          <w:rFonts w:eastAsia="华文楷体" w:cs="Times New Roman"/>
          <w:kern w:val="44"/>
          <w:sz w:val="24"/>
          <w:szCs w:val="24"/>
        </w:rPr>
        <w:t>99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（二）国（境）内、外升学率变化趋势</w:t>
      </w:r>
      <w:r>
        <w:rPr>
          <w:rFonts w:eastAsia="华文楷体" w:cs="Times New Roman"/>
          <w:kern w:val="44"/>
          <w:sz w:val="24"/>
          <w:szCs w:val="24"/>
        </w:rPr>
        <w:tab/>
      </w:r>
      <w:r>
        <w:rPr>
          <w:rFonts w:eastAsia="华文楷体" w:cs="Times New Roman"/>
          <w:kern w:val="44"/>
          <w:sz w:val="24"/>
          <w:szCs w:val="24"/>
        </w:rPr>
        <w:t>99</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（三）就业行业变化趋势</w:t>
      </w:r>
      <w:r>
        <w:rPr>
          <w:rFonts w:eastAsia="华文楷体" w:cs="Times New Roman"/>
          <w:kern w:val="44"/>
          <w:sz w:val="24"/>
          <w:szCs w:val="24"/>
        </w:rPr>
        <w:tab/>
      </w:r>
      <w:r>
        <w:rPr>
          <w:rFonts w:eastAsia="华文楷体" w:cs="Times New Roman"/>
          <w:kern w:val="44"/>
          <w:sz w:val="24"/>
          <w:szCs w:val="24"/>
        </w:rPr>
        <w:t>100</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（四）就业职位类型变化趋势</w:t>
      </w:r>
      <w:r>
        <w:rPr>
          <w:rFonts w:eastAsia="华文楷体" w:cs="Times New Roman"/>
          <w:kern w:val="44"/>
          <w:sz w:val="24"/>
          <w:szCs w:val="24"/>
        </w:rPr>
        <w:tab/>
      </w:r>
      <w:r>
        <w:rPr>
          <w:rFonts w:eastAsia="华文楷体" w:cs="Times New Roman"/>
          <w:kern w:val="44"/>
          <w:sz w:val="24"/>
          <w:szCs w:val="24"/>
        </w:rPr>
        <w:t>101</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（五）平均薪资变化趋势</w:t>
      </w:r>
      <w:r>
        <w:rPr>
          <w:rFonts w:eastAsia="华文楷体" w:cs="Times New Roman"/>
          <w:kern w:val="44"/>
          <w:sz w:val="24"/>
          <w:szCs w:val="24"/>
        </w:rPr>
        <w:tab/>
      </w:r>
      <w:r>
        <w:rPr>
          <w:rFonts w:eastAsia="华文楷体" w:cs="Times New Roman"/>
          <w:kern w:val="44"/>
          <w:sz w:val="24"/>
          <w:szCs w:val="24"/>
        </w:rPr>
        <w:t>102</w:t>
      </w:r>
    </w:p>
    <w:p w:rsidR="00603F28" w:rsidRDefault="00041260">
      <w:pPr>
        <w:tabs>
          <w:tab w:val="right" w:leader="middleDot" w:pos="8190"/>
        </w:tabs>
        <w:spacing w:before="20" w:line="400" w:lineRule="exact"/>
        <w:ind w:firstLineChars="400" w:firstLine="960"/>
        <w:rPr>
          <w:rFonts w:eastAsia="华文楷体" w:cs="Times New Roman"/>
          <w:kern w:val="44"/>
          <w:sz w:val="24"/>
          <w:szCs w:val="24"/>
        </w:rPr>
      </w:pPr>
      <w:r>
        <w:rPr>
          <w:rFonts w:eastAsia="华文楷体" w:cs="Times New Roman"/>
          <w:kern w:val="44"/>
          <w:sz w:val="24"/>
          <w:szCs w:val="24"/>
        </w:rPr>
        <w:t>（六）专业相关度变化趋势</w:t>
      </w:r>
      <w:r>
        <w:rPr>
          <w:rFonts w:eastAsia="华文楷体" w:cs="Times New Roman"/>
          <w:kern w:val="44"/>
          <w:sz w:val="24"/>
          <w:szCs w:val="24"/>
        </w:rPr>
        <w:tab/>
      </w:r>
      <w:r>
        <w:rPr>
          <w:rFonts w:eastAsia="华文楷体" w:cs="Times New Roman"/>
          <w:kern w:val="44"/>
          <w:sz w:val="24"/>
          <w:szCs w:val="24"/>
        </w:rPr>
        <w:t>103</w:t>
      </w:r>
    </w:p>
    <w:p w:rsidR="00603F28" w:rsidRDefault="00041260">
      <w:pPr>
        <w:tabs>
          <w:tab w:val="right" w:leader="middleDot" w:pos="8190"/>
        </w:tabs>
        <w:spacing w:before="20" w:line="400" w:lineRule="exact"/>
        <w:ind w:firstLineChars="200" w:firstLine="480"/>
        <w:rPr>
          <w:rFonts w:cs="Times New Roman"/>
          <w:kern w:val="44"/>
          <w:sz w:val="24"/>
          <w:szCs w:val="24"/>
        </w:rPr>
      </w:pPr>
      <w:r>
        <w:rPr>
          <w:rFonts w:cs="Times New Roman"/>
          <w:kern w:val="44"/>
          <w:sz w:val="24"/>
          <w:szCs w:val="24"/>
        </w:rPr>
        <w:t>二、</w:t>
      </w:r>
      <w:r>
        <w:rPr>
          <w:rFonts w:cs="Times New Roman"/>
          <w:kern w:val="44"/>
          <w:sz w:val="24"/>
          <w:szCs w:val="24"/>
        </w:rPr>
        <w:t>2020</w:t>
      </w:r>
      <w:r>
        <w:rPr>
          <w:rFonts w:cs="Times New Roman"/>
          <w:kern w:val="44"/>
          <w:sz w:val="24"/>
          <w:szCs w:val="24"/>
        </w:rPr>
        <w:t>届毕业生就业形势研判</w:t>
      </w:r>
      <w:r>
        <w:rPr>
          <w:rFonts w:cs="Times New Roman"/>
          <w:kern w:val="44"/>
          <w:sz w:val="24"/>
          <w:szCs w:val="24"/>
        </w:rPr>
        <w:tab/>
      </w:r>
      <w:r>
        <w:rPr>
          <w:rFonts w:cs="Times New Roman"/>
          <w:kern w:val="44"/>
          <w:sz w:val="24"/>
          <w:szCs w:val="24"/>
        </w:rPr>
        <w:t>103</w:t>
      </w:r>
    </w:p>
    <w:p w:rsidR="00603F28" w:rsidRDefault="00041260">
      <w:pPr>
        <w:tabs>
          <w:tab w:val="right" w:leader="middleDot" w:pos="8190"/>
        </w:tabs>
        <w:spacing w:before="20" w:line="400" w:lineRule="exact"/>
        <w:ind w:firstLineChars="200" w:firstLine="480"/>
        <w:rPr>
          <w:rFonts w:cs="Times New Roman"/>
          <w:kern w:val="44"/>
          <w:sz w:val="24"/>
          <w:szCs w:val="24"/>
        </w:rPr>
        <w:sectPr w:rsidR="00603F28">
          <w:headerReference w:type="default" r:id="rId10"/>
          <w:footerReference w:type="default" r:id="rId11"/>
          <w:pgSz w:w="11906" w:h="16838"/>
          <w:pgMar w:top="1440" w:right="1800" w:bottom="1440" w:left="1800" w:header="851" w:footer="992" w:gutter="0"/>
          <w:pgNumType w:fmt="numberInDash"/>
          <w:cols w:space="425"/>
          <w:docGrid w:type="lines" w:linePitch="312"/>
        </w:sectPr>
      </w:pPr>
      <w:r>
        <w:rPr>
          <w:rFonts w:cs="Times New Roman"/>
          <w:kern w:val="44"/>
          <w:sz w:val="24"/>
          <w:szCs w:val="24"/>
        </w:rPr>
        <w:t>三、应对举措</w:t>
      </w:r>
      <w:r>
        <w:rPr>
          <w:rFonts w:cs="Times New Roman"/>
          <w:kern w:val="44"/>
          <w:sz w:val="24"/>
          <w:szCs w:val="24"/>
        </w:rPr>
        <w:tab/>
      </w:r>
      <w:r>
        <w:rPr>
          <w:rFonts w:cs="Times New Roman"/>
          <w:kern w:val="44"/>
          <w:sz w:val="24"/>
          <w:szCs w:val="24"/>
        </w:rPr>
        <w:t>105</w:t>
      </w:r>
    </w:p>
    <w:p w:rsidR="00603F28" w:rsidRDefault="00041260">
      <w:pPr>
        <w:pStyle w:val="1"/>
        <w:spacing w:before="10" w:after="10" w:line="579" w:lineRule="auto"/>
      </w:pPr>
      <w:bookmarkStart w:id="4" w:name="_Toc27642585"/>
      <w:r>
        <w:rPr>
          <w:rFonts w:hint="eastAsia"/>
        </w:rPr>
        <w:lastRenderedPageBreak/>
        <w:t>前言</w:t>
      </w:r>
      <w:bookmarkEnd w:id="4"/>
    </w:p>
    <w:p w:rsidR="00603F28" w:rsidRDefault="00041260">
      <w:pPr>
        <w:ind w:firstLineChars="200" w:firstLine="420"/>
      </w:pPr>
      <w:r>
        <w:t>江西财经大学是一所财政部、教育部、江西省人民政府共建，以经济、管理类学科为主，法、工、文、理、艺术等学科协调发展的高等财经学府。办学以来，学校秉承</w:t>
      </w:r>
      <w:r>
        <w:t>“</w:t>
      </w:r>
      <w:r>
        <w:t>信敏廉毅</w:t>
      </w:r>
      <w:r>
        <w:t>”</w:t>
      </w:r>
      <w:r>
        <w:t>的校训和</w:t>
      </w:r>
      <w:r>
        <w:t>“</w:t>
      </w:r>
      <w:r>
        <w:t>敬业乐群、臻于至善</w:t>
      </w:r>
      <w:r>
        <w:t>”</w:t>
      </w:r>
      <w:r>
        <w:t>的大学精神，形成了培养具有</w:t>
      </w:r>
      <w:r>
        <w:t>“</w:t>
      </w:r>
      <w:r>
        <w:t>信敏廉毅</w:t>
      </w:r>
      <w:r>
        <w:t>”</w:t>
      </w:r>
      <w:r>
        <w:t>素质的创新创业型人才的办学特色。</w:t>
      </w:r>
      <w:r>
        <w:rPr>
          <w:rFonts w:hint="eastAsia"/>
        </w:rPr>
        <w:t>学校秉承“信敏廉毅”的校训和“敬业乐群、臻于至善”的大学精神，形成了培养具有“信敏廉毅”素质的创新创业型人才的办学特色，正努力朝着“基础厚实、特色鲜明、人民满意、国际知名的高水平财经大学”的发展目标，实现“百年名校”江财梦迈进。</w:t>
      </w:r>
    </w:p>
    <w:p w:rsidR="00603F28" w:rsidRDefault="00041260">
      <w:pPr>
        <w:ind w:firstLineChars="200" w:firstLine="420"/>
      </w:pPr>
      <w:r>
        <w:rPr>
          <w:rFonts w:hint="eastAsia"/>
        </w:rPr>
        <w:t>就业工作保持良好态势，学</w:t>
      </w:r>
      <w:r>
        <w:rPr>
          <w:rFonts w:hint="eastAsia"/>
        </w:rPr>
        <w:t>校获</w:t>
      </w:r>
      <w:r>
        <w:rPr>
          <w:rFonts w:hint="eastAsia"/>
        </w:rPr>
        <w:t>2016-2018</w:t>
      </w:r>
      <w:r>
        <w:rPr>
          <w:rFonts w:hint="eastAsia"/>
        </w:rPr>
        <w:t>年度江西省“普通高校毕业生就业工作先进集体”“普通高校毕业生就业工作评估优秀等级”等荣誉，</w:t>
      </w:r>
      <w:r>
        <w:rPr>
          <w:rFonts w:hint="eastAsia"/>
        </w:rPr>
        <w:t>2010</w:t>
      </w:r>
      <w:r>
        <w:rPr>
          <w:rFonts w:hint="eastAsia"/>
        </w:rPr>
        <w:t>年学校被教育部评为首批“全国就业典型经验高校</w:t>
      </w:r>
      <w:r>
        <w:rPr>
          <w:rFonts w:hint="eastAsia"/>
        </w:rPr>
        <w:t>50</w:t>
      </w:r>
      <w:r>
        <w:rPr>
          <w:rFonts w:hint="eastAsia"/>
        </w:rPr>
        <w:t>强”，</w:t>
      </w:r>
      <w:r>
        <w:rPr>
          <w:rFonts w:hint="eastAsia"/>
        </w:rPr>
        <w:t>2012</w:t>
      </w:r>
      <w:r>
        <w:rPr>
          <w:rFonts w:hint="eastAsia"/>
        </w:rPr>
        <w:t>年获得国务院表彰的“全国就业先进工作单位”称号。在艾瑞深中国校友会网《</w:t>
      </w:r>
      <w:r>
        <w:rPr>
          <w:rFonts w:hint="eastAsia"/>
        </w:rPr>
        <w:t>2018</w:t>
      </w:r>
      <w:r>
        <w:rPr>
          <w:rFonts w:hint="eastAsia"/>
        </w:rPr>
        <w:t>中国大学教学质量评价报告》中公布的最新“校友会</w:t>
      </w:r>
      <w:r>
        <w:rPr>
          <w:rFonts w:hint="eastAsia"/>
        </w:rPr>
        <w:t>2018</w:t>
      </w:r>
      <w:r>
        <w:rPr>
          <w:rFonts w:hint="eastAsia"/>
        </w:rPr>
        <w:t>中国大学毕业生质量排行榜</w:t>
      </w:r>
      <w:r>
        <w:rPr>
          <w:rFonts w:hint="eastAsia"/>
        </w:rPr>
        <w:t>100</w:t>
      </w:r>
      <w:r>
        <w:rPr>
          <w:rFonts w:hint="eastAsia"/>
        </w:rPr>
        <w:t>强”中我校位列</w:t>
      </w:r>
      <w:r>
        <w:rPr>
          <w:rFonts w:hint="eastAsia"/>
        </w:rPr>
        <w:t>90</w:t>
      </w:r>
      <w:r>
        <w:rPr>
          <w:rFonts w:hint="eastAsia"/>
        </w:rPr>
        <w:t>名。</w:t>
      </w:r>
      <w:r>
        <w:rPr>
          <w:rFonts w:hint="eastAsia"/>
        </w:rPr>
        <w:t>2016</w:t>
      </w:r>
      <w:r>
        <w:rPr>
          <w:rFonts w:hint="eastAsia"/>
        </w:rPr>
        <w:t>年江财众创空间获评“国家级众创空间”、江西省科技厅首批“江西众创”，</w:t>
      </w:r>
      <w:r>
        <w:rPr>
          <w:rFonts w:hint="eastAsia"/>
        </w:rPr>
        <w:t>2017</w:t>
      </w:r>
      <w:r>
        <w:rPr>
          <w:rFonts w:hint="eastAsia"/>
        </w:rPr>
        <w:t>年江财众创空间获批共青团中央首批“全国大学生创业示范园”，学校</w:t>
      </w:r>
      <w:r>
        <w:rPr>
          <w:rFonts w:hint="eastAsia"/>
        </w:rPr>
        <w:t>获批教育部首批“深化创新创业教育改革示范高校”“全国创新创业典型经验高校</w:t>
      </w:r>
      <w:r>
        <w:rPr>
          <w:rFonts w:hint="eastAsia"/>
        </w:rPr>
        <w:t>50</w:t>
      </w:r>
      <w:r>
        <w:rPr>
          <w:rFonts w:hint="eastAsia"/>
        </w:rPr>
        <w:t>强”、江西省教育厅“江西省大学生创新创业示范基地”。</w:t>
      </w:r>
      <w:r>
        <w:rPr>
          <w:rFonts w:hint="eastAsia"/>
        </w:rPr>
        <w:t>2019</w:t>
      </w:r>
      <w:r>
        <w:rPr>
          <w:rFonts w:hint="eastAsia"/>
        </w:rPr>
        <w:t>年学校获批江西省发改委“江西省大众创业万众创新示范基地”。近年来，中央电视台、人民日报、中国教育报等中央媒体多次报道学校人才培养及就业工作。</w:t>
      </w:r>
    </w:p>
    <w:p w:rsidR="00603F28" w:rsidRDefault="00041260">
      <w:pPr>
        <w:ind w:firstLineChars="200" w:firstLine="420"/>
      </w:pPr>
      <w:r>
        <w:t>学校办学以来，已为国家培养各类人才</w:t>
      </w:r>
      <w:r>
        <w:t>20</w:t>
      </w:r>
      <w:r>
        <w:t>余万人，多数学生现已成为所在单位的业务骨干和中坚力量，甚至成为商界、政界、学界的精英。</w:t>
      </w:r>
      <w:r>
        <w:rPr>
          <w:rFonts w:hint="eastAsia"/>
        </w:rPr>
        <w:t>据资料显示，学校排名中国财经类大学排行榜第</w:t>
      </w:r>
      <w:r>
        <w:t>7</w:t>
      </w:r>
      <w:r>
        <w:t>名、中国</w:t>
      </w:r>
      <w:r>
        <w:t>CFO</w:t>
      </w:r>
      <w:r>
        <w:t>大学排行榜第</w:t>
      </w:r>
      <w:r>
        <w:t>5</w:t>
      </w:r>
      <w:r>
        <w:t>名、中国造富大学排行榜第</w:t>
      </w:r>
      <w:r>
        <w:t>16</w:t>
      </w:r>
      <w:r>
        <w:t>名、中国高</w:t>
      </w:r>
      <w:r>
        <w:t>管校友大学排行榜第</w:t>
      </w:r>
      <w:r>
        <w:t>30</w:t>
      </w:r>
      <w:r>
        <w:t>名、中国大学校友捐赠排行榜第</w:t>
      </w:r>
      <w:r>
        <w:t>47</w:t>
      </w:r>
      <w:r>
        <w:t>名、中国大学生创业竞争力排行榜第</w:t>
      </w:r>
      <w:r>
        <w:t>59</w:t>
      </w:r>
      <w:r>
        <w:t>名、中国大学杰出人文社会科学家校友榜第</w:t>
      </w:r>
      <w:r>
        <w:t>60</w:t>
      </w:r>
      <w:r>
        <w:t>名、高考生最喜爱的百强大学榜第</w:t>
      </w:r>
      <w:r>
        <w:t>71</w:t>
      </w:r>
      <w:r>
        <w:t>名、中国高校毕业生薪酬排行榜第</w:t>
      </w:r>
      <w:r>
        <w:t>86</w:t>
      </w:r>
      <w:r>
        <w:t>名、中国大学杰出校友排行榜第</w:t>
      </w:r>
      <w:r>
        <w:t>89</w:t>
      </w:r>
      <w:r>
        <w:t>位、全国毕业生质量排行榜江西省第</w:t>
      </w:r>
      <w:r>
        <w:t>1</w:t>
      </w:r>
      <w:r>
        <w:t>名。近三年，《人民日报》、新华社、《光明日报》、中央电视台、《中国教育报》《江西日报》、江西卫视等众多中央和地方媒体对学校进行了近千次的</w:t>
      </w:r>
      <w:r>
        <w:rPr>
          <w:rFonts w:hint="eastAsia"/>
        </w:rPr>
        <w:t>报道。</w:t>
      </w:r>
    </w:p>
    <w:p w:rsidR="00603F28" w:rsidRDefault="00041260">
      <w:pPr>
        <w:ind w:firstLineChars="200" w:firstLine="420"/>
        <w:rPr>
          <w:rFonts w:ascii="宋体" w:hAnsi="宋体"/>
          <w:b/>
          <w:bCs/>
          <w:kern w:val="44"/>
          <w:sz w:val="32"/>
          <w:szCs w:val="44"/>
        </w:rPr>
      </w:pPr>
      <w:r>
        <w:rPr>
          <w:rFonts w:hint="eastAsia"/>
        </w:rPr>
        <w:t>为贯彻落实教育部相关文件精神，回应社会关切，全面、客观地反映我校</w:t>
      </w:r>
      <w:r>
        <w:t>201</w:t>
      </w:r>
      <w:r>
        <w:rPr>
          <w:rFonts w:hint="eastAsia"/>
        </w:rPr>
        <w:t>9</w:t>
      </w:r>
      <w:r>
        <w:rPr>
          <w:rFonts w:hint="eastAsia"/>
        </w:rPr>
        <w:t>届本科毕业生就业状况和就业质量</w:t>
      </w:r>
      <w:r>
        <w:rPr>
          <w:rFonts w:hint="eastAsia"/>
        </w:rPr>
        <w:t>，进一步总结和提升就业工作水平，特编制本报告。</w:t>
      </w:r>
      <w:bookmarkStart w:id="5" w:name="_Toc22043030"/>
      <w:r>
        <w:rPr>
          <w:rFonts w:ascii="宋体" w:hAnsi="宋体"/>
        </w:rPr>
        <w:br w:type="page"/>
      </w:r>
    </w:p>
    <w:p w:rsidR="00603F28" w:rsidRDefault="00041260">
      <w:pPr>
        <w:pStyle w:val="1"/>
      </w:pPr>
      <w:bookmarkStart w:id="6" w:name="_Toc27642586"/>
      <w:r>
        <w:rPr>
          <w:rFonts w:hint="eastAsia"/>
        </w:rPr>
        <w:lastRenderedPageBreak/>
        <w:t>报告说明</w:t>
      </w:r>
      <w:bookmarkEnd w:id="6"/>
    </w:p>
    <w:p w:rsidR="00603F28" w:rsidRDefault="00041260">
      <w:pPr>
        <w:autoSpaceDE w:val="0"/>
        <w:autoSpaceDN w:val="0"/>
        <w:adjustRightInd w:val="0"/>
        <w:ind w:firstLineChars="200" w:firstLine="420"/>
        <w:rPr>
          <w:szCs w:val="21"/>
        </w:rPr>
      </w:pPr>
      <w:r>
        <w:rPr>
          <w:rFonts w:hint="eastAsia"/>
          <w:szCs w:val="21"/>
        </w:rPr>
        <w:t>高校发布毕业生就业质量年度报告，是高等学校建立健全就业状况反馈机制，及时回应社会关切的一项重要工作。根据《教育部关于做好</w:t>
      </w:r>
      <w:r>
        <w:rPr>
          <w:szCs w:val="21"/>
        </w:rPr>
        <w:t>2019</w:t>
      </w:r>
      <w:r>
        <w:rPr>
          <w:szCs w:val="21"/>
        </w:rPr>
        <w:t>届全国普通高等学校毕业生就业创业工作的通知》（教学〔</w:t>
      </w:r>
      <w:r>
        <w:rPr>
          <w:szCs w:val="21"/>
        </w:rPr>
        <w:t>2018</w:t>
      </w:r>
      <w:r>
        <w:rPr>
          <w:szCs w:val="21"/>
        </w:rPr>
        <w:t>〕</w:t>
      </w:r>
      <w:r>
        <w:rPr>
          <w:szCs w:val="21"/>
        </w:rPr>
        <w:t>8</w:t>
      </w:r>
      <w:r>
        <w:rPr>
          <w:szCs w:val="21"/>
        </w:rPr>
        <w:t>号）、《教育部办公厅关于编制发布高校毕业生就业质量年度报告的通知》（教学厅函</w:t>
      </w:r>
      <w:r>
        <w:rPr>
          <w:szCs w:val="21"/>
        </w:rPr>
        <w:t>[2013]25</w:t>
      </w:r>
      <w:r>
        <w:rPr>
          <w:szCs w:val="21"/>
        </w:rPr>
        <w:t>号）等文件要求，学校联合第三方机构长沙市云研网络科技有限公司共同编制</w:t>
      </w:r>
      <w:r>
        <w:rPr>
          <w:rFonts w:hint="eastAsia"/>
          <w:szCs w:val="21"/>
        </w:rPr>
        <w:t>《江西财经大学</w:t>
      </w:r>
      <w:r>
        <w:rPr>
          <w:szCs w:val="21"/>
        </w:rPr>
        <w:t>2019</w:t>
      </w:r>
      <w:r>
        <w:rPr>
          <w:rFonts w:hint="eastAsia"/>
          <w:szCs w:val="21"/>
        </w:rPr>
        <w:t>年普通本科</w:t>
      </w:r>
      <w:r>
        <w:rPr>
          <w:szCs w:val="21"/>
        </w:rPr>
        <w:t>毕业生就业质量</w:t>
      </w:r>
      <w:r>
        <w:rPr>
          <w:rFonts w:hint="eastAsia"/>
          <w:szCs w:val="21"/>
        </w:rPr>
        <w:t>年度</w:t>
      </w:r>
      <w:r>
        <w:rPr>
          <w:szCs w:val="21"/>
        </w:rPr>
        <w:t>报告</w:t>
      </w:r>
      <w:r>
        <w:rPr>
          <w:rFonts w:hint="eastAsia"/>
          <w:szCs w:val="21"/>
        </w:rPr>
        <w:t>》</w:t>
      </w:r>
      <w:r>
        <w:rPr>
          <w:szCs w:val="21"/>
        </w:rPr>
        <w:t>。报告内容</w:t>
      </w:r>
      <w:r>
        <w:rPr>
          <w:rFonts w:hint="eastAsia"/>
          <w:szCs w:val="21"/>
        </w:rPr>
        <w:t>2</w:t>
      </w:r>
      <w:r>
        <w:rPr>
          <w:szCs w:val="21"/>
        </w:rPr>
        <w:t>019</w:t>
      </w:r>
      <w:r>
        <w:rPr>
          <w:rFonts w:hint="eastAsia"/>
          <w:szCs w:val="21"/>
        </w:rPr>
        <w:t>届毕业生生源情况、</w:t>
      </w:r>
      <w:r>
        <w:rPr>
          <w:rFonts w:hint="eastAsia"/>
          <w:szCs w:val="21"/>
        </w:rPr>
        <w:t>2019</w:t>
      </w:r>
      <w:r>
        <w:rPr>
          <w:rFonts w:hint="eastAsia"/>
          <w:szCs w:val="21"/>
        </w:rPr>
        <w:t>届毕业生就业及校园招聘情况、</w:t>
      </w:r>
      <w:r>
        <w:rPr>
          <w:rFonts w:hint="eastAsia"/>
          <w:szCs w:val="21"/>
        </w:rPr>
        <w:t>2019</w:t>
      </w:r>
      <w:r>
        <w:rPr>
          <w:rFonts w:hint="eastAsia"/>
          <w:szCs w:val="21"/>
        </w:rPr>
        <w:t>届毕业生离校</w:t>
      </w:r>
      <w:r>
        <w:rPr>
          <w:rFonts w:hint="eastAsia"/>
          <w:szCs w:val="21"/>
        </w:rPr>
        <w:t>3-</w:t>
      </w:r>
      <w:r>
        <w:rPr>
          <w:szCs w:val="21"/>
        </w:rPr>
        <w:t>6</w:t>
      </w:r>
      <w:r>
        <w:rPr>
          <w:rFonts w:hint="eastAsia"/>
          <w:szCs w:val="21"/>
        </w:rPr>
        <w:t>个月就业质量跟踪调研、</w:t>
      </w:r>
      <w:r>
        <w:rPr>
          <w:rFonts w:hint="eastAsia"/>
          <w:szCs w:val="21"/>
        </w:rPr>
        <w:t>2019</w:t>
      </w:r>
      <w:r>
        <w:rPr>
          <w:rFonts w:hint="eastAsia"/>
          <w:szCs w:val="21"/>
        </w:rPr>
        <w:t>届毕业生择业因素调研分析、</w:t>
      </w:r>
      <w:r>
        <w:rPr>
          <w:rFonts w:hint="eastAsia"/>
          <w:szCs w:val="21"/>
        </w:rPr>
        <w:t>2019</w:t>
      </w:r>
      <w:r>
        <w:rPr>
          <w:rFonts w:hint="eastAsia"/>
          <w:szCs w:val="21"/>
        </w:rPr>
        <w:t>届毕业生及用人单位教育教学反馈、</w:t>
      </w:r>
      <w:r>
        <w:rPr>
          <w:rFonts w:hint="eastAsia"/>
          <w:szCs w:val="21"/>
        </w:rPr>
        <w:t>2019</w:t>
      </w:r>
      <w:r>
        <w:rPr>
          <w:rFonts w:hint="eastAsia"/>
          <w:szCs w:val="21"/>
        </w:rPr>
        <w:t>年毕业生及用人单位调研反馈分析总结、</w:t>
      </w:r>
      <w:r>
        <w:rPr>
          <w:rFonts w:hint="eastAsia"/>
          <w:szCs w:val="21"/>
        </w:rPr>
        <w:t>2019</w:t>
      </w:r>
      <w:r>
        <w:rPr>
          <w:rFonts w:hint="eastAsia"/>
          <w:szCs w:val="21"/>
        </w:rPr>
        <w:t>届毕业生就业工作特色、</w:t>
      </w:r>
      <w:r>
        <w:rPr>
          <w:rFonts w:hint="eastAsia"/>
          <w:szCs w:val="21"/>
        </w:rPr>
        <w:t>2020</w:t>
      </w:r>
      <w:r>
        <w:rPr>
          <w:rFonts w:hint="eastAsia"/>
          <w:szCs w:val="21"/>
        </w:rPr>
        <w:t>届毕业生就业趋势分析及应对。</w:t>
      </w:r>
    </w:p>
    <w:p w:rsidR="00603F28" w:rsidRDefault="00603F28">
      <w:pPr>
        <w:autoSpaceDE w:val="0"/>
        <w:autoSpaceDN w:val="0"/>
        <w:adjustRightInd w:val="0"/>
        <w:ind w:firstLineChars="200" w:firstLine="420"/>
        <w:rPr>
          <w:szCs w:val="21"/>
        </w:rPr>
      </w:pPr>
    </w:p>
    <w:p w:rsidR="00603F28" w:rsidRDefault="00041260">
      <w:pPr>
        <w:autoSpaceDE w:val="0"/>
        <w:autoSpaceDN w:val="0"/>
        <w:adjustRightInd w:val="0"/>
        <w:ind w:firstLineChars="200" w:firstLine="420"/>
        <w:rPr>
          <w:szCs w:val="21"/>
        </w:rPr>
      </w:pPr>
      <w:r>
        <w:rPr>
          <w:rFonts w:hint="eastAsia"/>
          <w:szCs w:val="21"/>
        </w:rPr>
        <w:t>本报告数据主要来源于三个方面：</w:t>
      </w:r>
    </w:p>
    <w:p w:rsidR="00603F28" w:rsidRDefault="00041260">
      <w:pPr>
        <w:autoSpaceDE w:val="0"/>
        <w:autoSpaceDN w:val="0"/>
        <w:adjustRightInd w:val="0"/>
        <w:ind w:firstLineChars="200" w:firstLine="422"/>
        <w:rPr>
          <w:b/>
          <w:szCs w:val="21"/>
        </w:rPr>
      </w:pPr>
      <w:r>
        <w:rPr>
          <w:b/>
          <w:szCs w:val="21"/>
        </w:rPr>
        <w:t>1</w:t>
      </w:r>
      <w:r>
        <w:rPr>
          <w:rFonts w:hint="eastAsia"/>
          <w:b/>
          <w:szCs w:val="21"/>
        </w:rPr>
        <w:t>、江西财经大学</w:t>
      </w:r>
      <w:r>
        <w:rPr>
          <w:rFonts w:hint="eastAsia"/>
          <w:b/>
          <w:szCs w:val="21"/>
        </w:rPr>
        <w:t>2</w:t>
      </w:r>
      <w:r>
        <w:rPr>
          <w:b/>
          <w:szCs w:val="21"/>
        </w:rPr>
        <w:t>019</w:t>
      </w:r>
      <w:r>
        <w:rPr>
          <w:rFonts w:hint="eastAsia"/>
          <w:b/>
          <w:szCs w:val="21"/>
        </w:rPr>
        <w:t>届毕业生就业派遣数据库</w:t>
      </w:r>
    </w:p>
    <w:p w:rsidR="00603F28" w:rsidRDefault="00041260">
      <w:pPr>
        <w:autoSpaceDE w:val="0"/>
        <w:autoSpaceDN w:val="0"/>
        <w:adjustRightInd w:val="0"/>
        <w:ind w:firstLineChars="200" w:firstLine="420"/>
        <w:rPr>
          <w:szCs w:val="21"/>
        </w:rPr>
      </w:pPr>
      <w:r>
        <w:rPr>
          <w:rFonts w:hint="eastAsia"/>
          <w:szCs w:val="21"/>
        </w:rPr>
        <w:t>2019</w:t>
      </w:r>
      <w:r>
        <w:rPr>
          <w:rFonts w:hint="eastAsia"/>
          <w:szCs w:val="21"/>
        </w:rPr>
        <w:t>届毕业生生源情况数据来源于江西财经大学</w:t>
      </w:r>
      <w:r>
        <w:rPr>
          <w:rFonts w:hint="eastAsia"/>
          <w:szCs w:val="21"/>
        </w:rPr>
        <w:t>2019</w:t>
      </w:r>
      <w:r>
        <w:rPr>
          <w:rFonts w:hint="eastAsia"/>
          <w:szCs w:val="21"/>
        </w:rPr>
        <w:t>届毕业生就业派遣数据库，数据统计截至</w:t>
      </w:r>
      <w:r>
        <w:rPr>
          <w:szCs w:val="21"/>
        </w:rPr>
        <w:t>2019</w:t>
      </w:r>
      <w:r>
        <w:rPr>
          <w:rFonts w:hint="eastAsia"/>
          <w:szCs w:val="21"/>
        </w:rPr>
        <w:t>年</w:t>
      </w:r>
      <w:r>
        <w:rPr>
          <w:szCs w:val="21"/>
        </w:rPr>
        <w:t>8</w:t>
      </w:r>
      <w:r>
        <w:rPr>
          <w:rFonts w:hint="eastAsia"/>
          <w:szCs w:val="21"/>
        </w:rPr>
        <w:t>月</w:t>
      </w:r>
      <w:r>
        <w:rPr>
          <w:rFonts w:hint="eastAsia"/>
          <w:szCs w:val="21"/>
        </w:rPr>
        <w:t>3</w:t>
      </w:r>
      <w:r>
        <w:rPr>
          <w:szCs w:val="21"/>
        </w:rPr>
        <w:t>1</w:t>
      </w:r>
      <w:r>
        <w:rPr>
          <w:rFonts w:hint="eastAsia"/>
          <w:szCs w:val="21"/>
        </w:rPr>
        <w:t>日，数据分析为全样本分析。</w:t>
      </w:r>
    </w:p>
    <w:p w:rsidR="00603F28" w:rsidRDefault="00041260">
      <w:pPr>
        <w:autoSpaceDE w:val="0"/>
        <w:autoSpaceDN w:val="0"/>
        <w:adjustRightInd w:val="0"/>
        <w:ind w:firstLineChars="200" w:firstLine="422"/>
        <w:rPr>
          <w:b/>
          <w:szCs w:val="21"/>
        </w:rPr>
      </w:pPr>
      <w:r>
        <w:rPr>
          <w:rFonts w:hint="eastAsia"/>
          <w:b/>
          <w:szCs w:val="21"/>
        </w:rPr>
        <w:t>2</w:t>
      </w:r>
      <w:r>
        <w:rPr>
          <w:rFonts w:hint="eastAsia"/>
          <w:b/>
          <w:szCs w:val="21"/>
        </w:rPr>
        <w:t>、“江西财经大学</w:t>
      </w:r>
      <w:r>
        <w:rPr>
          <w:rFonts w:hint="eastAsia"/>
          <w:b/>
          <w:szCs w:val="21"/>
        </w:rPr>
        <w:t>2019</w:t>
      </w:r>
      <w:r>
        <w:rPr>
          <w:rFonts w:hint="eastAsia"/>
          <w:b/>
          <w:szCs w:val="21"/>
        </w:rPr>
        <w:t>届毕业生就业质量调研问卷”调研数据</w:t>
      </w:r>
    </w:p>
    <w:p w:rsidR="00603F28" w:rsidRDefault="00041260">
      <w:pPr>
        <w:ind w:firstLineChars="200" w:firstLine="420"/>
        <w:rPr>
          <w:szCs w:val="21"/>
        </w:rPr>
      </w:pPr>
      <w:r>
        <w:rPr>
          <w:rFonts w:hint="eastAsia"/>
          <w:szCs w:val="21"/>
        </w:rPr>
        <w:t>第三章</w:t>
      </w:r>
      <w:r>
        <w:rPr>
          <w:rFonts w:hint="eastAsia"/>
          <w:szCs w:val="21"/>
        </w:rPr>
        <w:t>2019</w:t>
      </w:r>
      <w:r>
        <w:rPr>
          <w:rFonts w:hint="eastAsia"/>
          <w:szCs w:val="21"/>
        </w:rPr>
        <w:t>届毕业生离校</w:t>
      </w:r>
      <w:r>
        <w:rPr>
          <w:rFonts w:hint="eastAsia"/>
          <w:szCs w:val="21"/>
        </w:rPr>
        <w:t>3-6</w:t>
      </w:r>
      <w:r>
        <w:rPr>
          <w:rFonts w:hint="eastAsia"/>
          <w:szCs w:val="21"/>
        </w:rPr>
        <w:t>个月就业质量跟踪调研、第四章</w:t>
      </w:r>
      <w:r>
        <w:rPr>
          <w:rFonts w:hint="eastAsia"/>
          <w:szCs w:val="21"/>
        </w:rPr>
        <w:t>2019</w:t>
      </w:r>
      <w:r>
        <w:rPr>
          <w:rFonts w:hint="eastAsia"/>
          <w:szCs w:val="21"/>
        </w:rPr>
        <w:t>届毕业生择业因素调研分析、第五章</w:t>
      </w:r>
      <w:r>
        <w:rPr>
          <w:rFonts w:hint="eastAsia"/>
          <w:szCs w:val="21"/>
        </w:rPr>
        <w:t>2019</w:t>
      </w:r>
      <w:r>
        <w:rPr>
          <w:rFonts w:hint="eastAsia"/>
          <w:szCs w:val="21"/>
        </w:rPr>
        <w:t>届毕业生及用人单位教育教学反馈、第八章</w:t>
      </w:r>
      <w:r>
        <w:rPr>
          <w:rFonts w:hint="eastAsia"/>
          <w:szCs w:val="21"/>
        </w:rPr>
        <w:t>2020</w:t>
      </w:r>
      <w:r>
        <w:rPr>
          <w:rFonts w:hint="eastAsia"/>
          <w:szCs w:val="21"/>
        </w:rPr>
        <w:t>届毕业生就业趋势分析及应对中本校近三届毕业生就业发展趋势数据来源于“江西财经大学</w:t>
      </w:r>
      <w:r>
        <w:rPr>
          <w:szCs w:val="21"/>
        </w:rPr>
        <w:t>2019</w:t>
      </w:r>
      <w:r>
        <w:rPr>
          <w:szCs w:val="21"/>
        </w:rPr>
        <w:t>届毕业生就业质量调研问卷</w:t>
      </w:r>
      <w:r>
        <w:rPr>
          <w:rFonts w:hint="eastAsia"/>
          <w:szCs w:val="21"/>
        </w:rPr>
        <w:t>”，问卷回收截至</w:t>
      </w:r>
      <w:r>
        <w:rPr>
          <w:szCs w:val="21"/>
        </w:rPr>
        <w:t>2019</w:t>
      </w:r>
      <w:r>
        <w:rPr>
          <w:szCs w:val="21"/>
        </w:rPr>
        <w:t>年</w:t>
      </w:r>
      <w:r>
        <w:rPr>
          <w:szCs w:val="21"/>
        </w:rPr>
        <w:t>11</w:t>
      </w:r>
      <w:r>
        <w:rPr>
          <w:szCs w:val="21"/>
        </w:rPr>
        <w:t>月</w:t>
      </w:r>
      <w:r>
        <w:rPr>
          <w:szCs w:val="21"/>
        </w:rPr>
        <w:t>14</w:t>
      </w:r>
      <w:r>
        <w:rPr>
          <w:szCs w:val="21"/>
        </w:rPr>
        <w:t>日</w:t>
      </w:r>
      <w:r>
        <w:rPr>
          <w:rFonts w:hint="eastAsia"/>
          <w:szCs w:val="21"/>
        </w:rPr>
        <w:t>，调研覆盖</w:t>
      </w:r>
      <w:r>
        <w:rPr>
          <w:rFonts w:hint="eastAsia"/>
          <w:szCs w:val="21"/>
        </w:rPr>
        <w:t>江西财经大学</w:t>
      </w:r>
      <w:r>
        <w:rPr>
          <w:szCs w:val="21"/>
        </w:rPr>
        <w:t>2019</w:t>
      </w:r>
      <w:r>
        <w:rPr>
          <w:szCs w:val="21"/>
        </w:rPr>
        <w:t>届毕业生</w:t>
      </w:r>
      <w:r>
        <w:rPr>
          <w:szCs w:val="21"/>
        </w:rPr>
        <w:t>5134</w:t>
      </w:r>
      <w:r>
        <w:rPr>
          <w:szCs w:val="21"/>
        </w:rPr>
        <w:t>人，共回收有效问卷</w:t>
      </w:r>
      <w:r>
        <w:rPr>
          <w:szCs w:val="21"/>
        </w:rPr>
        <w:t>2312</w:t>
      </w:r>
      <w:r>
        <w:rPr>
          <w:szCs w:val="21"/>
        </w:rPr>
        <w:t>份，</w:t>
      </w:r>
      <w:r>
        <w:rPr>
          <w:rFonts w:hint="eastAsia"/>
          <w:szCs w:val="21"/>
        </w:rPr>
        <w:t>有效</w:t>
      </w:r>
      <w:r>
        <w:rPr>
          <w:szCs w:val="21"/>
        </w:rPr>
        <w:t>问卷回收率为</w:t>
      </w:r>
      <w:r>
        <w:rPr>
          <w:szCs w:val="21"/>
        </w:rPr>
        <w:t>45.03%</w:t>
      </w:r>
      <w:r>
        <w:rPr>
          <w:szCs w:val="21"/>
        </w:rPr>
        <w:t>。</w:t>
      </w:r>
    </w:p>
    <w:p w:rsidR="00603F28" w:rsidRDefault="00041260">
      <w:pPr>
        <w:ind w:firstLineChars="200" w:firstLine="422"/>
        <w:rPr>
          <w:szCs w:val="21"/>
        </w:rPr>
      </w:pPr>
      <w:r>
        <w:rPr>
          <w:rFonts w:hint="eastAsia"/>
          <w:b/>
          <w:szCs w:val="21"/>
        </w:rPr>
        <w:t>3</w:t>
      </w:r>
      <w:r>
        <w:rPr>
          <w:rFonts w:hint="eastAsia"/>
          <w:b/>
          <w:szCs w:val="21"/>
        </w:rPr>
        <w:t>、第三方开展的用人单位调研数据</w:t>
      </w:r>
    </w:p>
    <w:p w:rsidR="00603F28" w:rsidRDefault="00041260">
      <w:pPr>
        <w:ind w:firstLineChars="200" w:firstLine="420"/>
        <w:rPr>
          <w:szCs w:val="21"/>
        </w:rPr>
      </w:pPr>
      <w:r>
        <w:rPr>
          <w:rFonts w:hint="eastAsia"/>
          <w:szCs w:val="21"/>
        </w:rPr>
        <w:t>第五章</w:t>
      </w:r>
      <w:r>
        <w:rPr>
          <w:rFonts w:hint="eastAsia"/>
          <w:szCs w:val="21"/>
        </w:rPr>
        <w:t>2019</w:t>
      </w:r>
      <w:r>
        <w:rPr>
          <w:rFonts w:hint="eastAsia"/>
          <w:szCs w:val="21"/>
        </w:rPr>
        <w:t>届毕业生及用人单位教育教学反馈中用人单位的评价数据来源于“江西财经大学</w:t>
      </w:r>
      <w:r>
        <w:rPr>
          <w:szCs w:val="21"/>
        </w:rPr>
        <w:t>2019</w:t>
      </w:r>
      <w:r>
        <w:rPr>
          <w:szCs w:val="21"/>
        </w:rPr>
        <w:t>年用人单位调研问卷</w:t>
      </w:r>
      <w:r>
        <w:rPr>
          <w:rFonts w:hint="eastAsia"/>
          <w:szCs w:val="21"/>
        </w:rPr>
        <w:t>”，调研面向江西财经大学云就业平台中的用人单位库，通过向用人单位发放答题邀请函、问卷链接，邀请用人单位填写问卷。问卷回收截止至</w:t>
      </w:r>
      <w:r>
        <w:rPr>
          <w:szCs w:val="21"/>
        </w:rPr>
        <w:t>2019</w:t>
      </w:r>
      <w:r>
        <w:rPr>
          <w:szCs w:val="21"/>
        </w:rPr>
        <w:t>年</w:t>
      </w:r>
      <w:r>
        <w:rPr>
          <w:szCs w:val="21"/>
        </w:rPr>
        <w:t>11</w:t>
      </w:r>
      <w:r>
        <w:rPr>
          <w:szCs w:val="21"/>
        </w:rPr>
        <w:t>月</w:t>
      </w:r>
      <w:r>
        <w:rPr>
          <w:szCs w:val="21"/>
        </w:rPr>
        <w:t>14</w:t>
      </w:r>
      <w:r>
        <w:rPr>
          <w:szCs w:val="21"/>
        </w:rPr>
        <w:t>日</w:t>
      </w:r>
      <w:r>
        <w:rPr>
          <w:rFonts w:hint="eastAsia"/>
          <w:szCs w:val="21"/>
        </w:rPr>
        <w:t>，</w:t>
      </w:r>
      <w:r>
        <w:rPr>
          <w:rFonts w:hint="eastAsia"/>
          <w:color w:val="000000" w:themeColor="text1"/>
          <w:szCs w:val="21"/>
        </w:rPr>
        <w:t>共回收有效问卷</w:t>
      </w:r>
      <w:r>
        <w:rPr>
          <w:color w:val="000000" w:themeColor="text1"/>
          <w:szCs w:val="21"/>
        </w:rPr>
        <w:t>710</w:t>
      </w:r>
      <w:r>
        <w:rPr>
          <w:rFonts w:hint="eastAsia"/>
          <w:color w:val="000000" w:themeColor="text1"/>
          <w:szCs w:val="21"/>
        </w:rPr>
        <w:t>份。</w:t>
      </w:r>
    </w:p>
    <w:p w:rsidR="00603F28" w:rsidRDefault="00041260">
      <w:pPr>
        <w:widowControl/>
        <w:spacing w:line="240" w:lineRule="auto"/>
        <w:jc w:val="left"/>
        <w:rPr>
          <w:rFonts w:ascii="宋体" w:hAnsi="宋体"/>
        </w:rPr>
        <w:sectPr w:rsidR="00603F28">
          <w:headerReference w:type="default" r:id="rId12"/>
          <w:footerReference w:type="default" r:id="rId13"/>
          <w:pgSz w:w="11906" w:h="16838"/>
          <w:pgMar w:top="1440" w:right="1800" w:bottom="1440" w:left="1800" w:header="851" w:footer="992" w:gutter="0"/>
          <w:pgNumType w:fmt="upperRoman" w:start="1"/>
          <w:cols w:space="425"/>
          <w:docGrid w:type="lines" w:linePitch="312"/>
        </w:sectPr>
      </w:pPr>
      <w:r>
        <w:rPr>
          <w:rFonts w:ascii="宋体" w:hAnsi="宋体"/>
        </w:rPr>
        <w:br w:type="page"/>
      </w:r>
    </w:p>
    <w:p w:rsidR="00603F28" w:rsidRDefault="00041260">
      <w:pPr>
        <w:pStyle w:val="1"/>
        <w:rPr>
          <w:rFonts w:ascii="宋体" w:hAnsi="宋体"/>
        </w:rPr>
      </w:pPr>
      <w:bookmarkStart w:id="7" w:name="_Toc27642587"/>
      <w:r>
        <w:rPr>
          <w:rFonts w:ascii="宋体" w:hAnsi="宋体"/>
        </w:rPr>
        <w:lastRenderedPageBreak/>
        <w:t>第一</w:t>
      </w:r>
      <w:r>
        <w:rPr>
          <w:rFonts w:ascii="宋体" w:hAnsi="宋体" w:hint="eastAsia"/>
        </w:rPr>
        <w:t>章</w:t>
      </w:r>
      <w:bookmarkEnd w:id="5"/>
      <w:r>
        <w:rPr>
          <w:rFonts w:ascii="宋体" w:hAnsi="宋体"/>
        </w:rPr>
        <w:t xml:space="preserve"> </w:t>
      </w:r>
      <w:r>
        <w:rPr>
          <w:rFonts w:ascii="time" w:hAnsi="time" w:hint="eastAsia"/>
        </w:rPr>
        <w:t>2</w:t>
      </w:r>
      <w:r>
        <w:rPr>
          <w:rFonts w:ascii="time" w:hAnsi="time"/>
        </w:rPr>
        <w:t>019</w:t>
      </w:r>
      <w:r>
        <w:rPr>
          <w:rFonts w:ascii="time" w:hAnsi="time" w:hint="eastAsia"/>
        </w:rPr>
        <w:t>届毕业生生源及就业情况</w:t>
      </w:r>
      <w:bookmarkEnd w:id="7"/>
    </w:p>
    <w:p w:rsidR="00603F28" w:rsidRDefault="00041260">
      <w:pPr>
        <w:ind w:firstLine="482"/>
        <w:rPr>
          <w:rFonts w:ascii="time" w:hAnsi="time" w:hint="eastAsia"/>
        </w:rPr>
      </w:pPr>
      <w:r>
        <w:rPr>
          <w:rFonts w:ascii="time" w:hAnsi="time" w:cs="MS Mincho" w:hint="eastAsia"/>
        </w:rPr>
        <w:t>本部分数据来源于江西财经大学</w:t>
      </w:r>
      <w:r>
        <w:rPr>
          <w:rFonts w:ascii="time" w:hAnsi="time" w:cs="MS Mincho" w:hint="eastAsia"/>
        </w:rPr>
        <w:t>2019</w:t>
      </w:r>
      <w:r>
        <w:rPr>
          <w:rFonts w:ascii="time" w:hAnsi="time" w:cs="MS Mincho" w:hint="eastAsia"/>
        </w:rPr>
        <w:t>届本科毕业生就业派遣数据库。</w:t>
      </w:r>
      <w:r>
        <w:rPr>
          <w:rFonts w:ascii="time" w:hAnsi="time" w:hint="eastAsia"/>
        </w:rPr>
        <w:t>2019</w:t>
      </w:r>
      <w:r>
        <w:rPr>
          <w:rFonts w:ascii="time" w:hAnsi="time" w:hint="eastAsia"/>
        </w:rPr>
        <w:t>届毕业生生源情况</w:t>
      </w:r>
      <w:r>
        <w:rPr>
          <w:rFonts w:ascii="time" w:hAnsi="time" w:cs="MS Mincho" w:hint="eastAsia"/>
        </w:rPr>
        <w:t>主要</w:t>
      </w:r>
      <w:r>
        <w:rPr>
          <w:rFonts w:ascii="time" w:hAnsi="time"/>
        </w:rPr>
        <w:t>从</w:t>
      </w:r>
      <w:r>
        <w:rPr>
          <w:rFonts w:ascii="time" w:hAnsi="time" w:hint="eastAsia"/>
        </w:rPr>
        <w:t>就业</w:t>
      </w:r>
      <w:r>
        <w:rPr>
          <w:rFonts w:ascii="time" w:hAnsi="time"/>
        </w:rPr>
        <w:t>规模及结构、</w:t>
      </w:r>
      <w:r>
        <w:rPr>
          <w:rFonts w:ascii="time" w:hAnsi="time" w:hint="eastAsia"/>
        </w:rPr>
        <w:t>就业</w:t>
      </w:r>
      <w:r>
        <w:rPr>
          <w:rFonts w:ascii="time" w:hAnsi="time"/>
        </w:rPr>
        <w:t>率及</w:t>
      </w:r>
      <w:r>
        <w:rPr>
          <w:rFonts w:ascii="time" w:hAnsi="time" w:hint="eastAsia"/>
        </w:rPr>
        <w:t>就业形式、</w:t>
      </w:r>
      <w:r>
        <w:rPr>
          <w:rFonts w:ascii="time" w:hAnsi="time"/>
        </w:rPr>
        <w:t>就业</w:t>
      </w:r>
      <w:r>
        <w:rPr>
          <w:rFonts w:ascii="time" w:hAnsi="time" w:hint="eastAsia"/>
        </w:rPr>
        <w:t>流</w:t>
      </w:r>
      <w:r>
        <w:rPr>
          <w:rFonts w:ascii="time" w:hAnsi="time"/>
        </w:rPr>
        <w:t>向</w:t>
      </w:r>
      <w:r>
        <w:rPr>
          <w:rFonts w:ascii="time" w:hAnsi="time" w:hint="eastAsia"/>
        </w:rPr>
        <w:t>、自主创业、国（境）内外升学情况和双困毕业生就业情况六</w:t>
      </w:r>
      <w:r>
        <w:rPr>
          <w:rFonts w:ascii="time" w:hAnsi="time"/>
        </w:rPr>
        <w:t>个方面</w:t>
      </w:r>
      <w:r>
        <w:rPr>
          <w:rFonts w:ascii="time" w:hAnsi="time" w:hint="eastAsia"/>
        </w:rPr>
        <w:t>展开</w:t>
      </w:r>
      <w:r>
        <w:rPr>
          <w:rFonts w:ascii="time" w:hAnsi="time"/>
        </w:rPr>
        <w:t>。</w:t>
      </w:r>
    </w:p>
    <w:p w:rsidR="00603F28" w:rsidRDefault="00041260">
      <w:pPr>
        <w:pStyle w:val="2"/>
      </w:pPr>
      <w:bookmarkStart w:id="8" w:name="_Toc4717_WPSOffice_Level2"/>
      <w:bookmarkStart w:id="9" w:name="_Toc534724563"/>
      <w:bookmarkStart w:id="10" w:name="_Toc27642588"/>
      <w:r>
        <w:rPr>
          <w:rFonts w:hint="eastAsia"/>
        </w:rPr>
        <w:t>一、毕业生规模及结构</w:t>
      </w:r>
      <w:bookmarkEnd w:id="8"/>
      <w:bookmarkEnd w:id="9"/>
      <w:bookmarkEnd w:id="10"/>
    </w:p>
    <w:p w:rsidR="00603F28" w:rsidRDefault="00041260">
      <w:pPr>
        <w:pStyle w:val="3"/>
        <w:spacing w:before="120"/>
      </w:pPr>
      <w:bookmarkStart w:id="11" w:name="_Toc27642589"/>
      <w:bookmarkStart w:id="12" w:name="_Toc534724564"/>
      <w:bookmarkStart w:id="13" w:name="_Toc4717_WPSOffice_Level3"/>
      <w:r>
        <w:rPr>
          <w:rFonts w:hint="eastAsia"/>
        </w:rPr>
        <w:t>（一）毕业生总体规模</w:t>
      </w:r>
      <w:bookmarkEnd w:id="11"/>
      <w:bookmarkEnd w:id="12"/>
      <w:bookmarkEnd w:id="13"/>
    </w:p>
    <w:p w:rsidR="00603F28" w:rsidRDefault="00041260">
      <w:pPr>
        <w:ind w:firstLineChars="200" w:firstLine="420"/>
      </w:pPr>
      <w:r>
        <w:rPr>
          <w:rFonts w:hint="eastAsia"/>
        </w:rPr>
        <w:t>201</w:t>
      </w:r>
      <w:r>
        <w:t>9</w:t>
      </w:r>
      <w:r>
        <w:rPr>
          <w:rFonts w:hint="eastAsia"/>
        </w:rPr>
        <w:t>届本科毕业生总人数为</w:t>
      </w:r>
      <w:r>
        <w:t>5134</w:t>
      </w:r>
      <w:r>
        <w:rPr>
          <w:rFonts w:hint="eastAsia"/>
        </w:rPr>
        <w:t>人，较</w:t>
      </w:r>
      <w:r>
        <w:rPr>
          <w:rFonts w:hint="eastAsia"/>
        </w:rPr>
        <w:t>2018</w:t>
      </w:r>
      <w:r>
        <w:rPr>
          <w:rFonts w:hint="eastAsia"/>
        </w:rPr>
        <w:t>届略有下降。其中男性毕业生</w:t>
      </w:r>
      <w:r>
        <w:rPr>
          <w:rFonts w:hint="eastAsia"/>
        </w:rPr>
        <w:t>2078</w:t>
      </w:r>
      <w:r>
        <w:rPr>
          <w:rFonts w:hint="eastAsia"/>
        </w:rPr>
        <w:t>人，女性毕业生</w:t>
      </w:r>
      <w:r>
        <w:rPr>
          <w:rFonts w:hint="eastAsia"/>
        </w:rPr>
        <w:t>3056</w:t>
      </w:r>
      <w:r>
        <w:rPr>
          <w:rFonts w:hint="eastAsia"/>
        </w:rPr>
        <w:t>人，男女比为</w:t>
      </w:r>
      <w:r>
        <w:rPr>
          <w:rFonts w:hint="eastAsia"/>
        </w:rPr>
        <w:t>0.68</w:t>
      </w:r>
      <w:r>
        <w:rPr>
          <w:rFonts w:hint="eastAsia"/>
        </w:rPr>
        <w:t>：</w:t>
      </w:r>
      <w:r>
        <w:rPr>
          <w:rFonts w:hint="eastAsia"/>
        </w:rPr>
        <w:t>1</w:t>
      </w:r>
      <w:r>
        <w:rPr>
          <w:rFonts w:hint="eastAsia"/>
        </w:rPr>
        <w:t>。</w:t>
      </w:r>
    </w:p>
    <w:p w:rsidR="00603F28" w:rsidRDefault="00041260">
      <w:pPr>
        <w:keepNext/>
      </w:pPr>
      <w:r>
        <w:rPr>
          <w:noProof/>
        </w:rPr>
        <w:drawing>
          <wp:inline distT="0" distB="0" distL="0" distR="0">
            <wp:extent cx="5803900" cy="1397000"/>
            <wp:effectExtent l="0" t="0" r="635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803919" cy="1397480"/>
                    </a:xfrm>
                    <a:prstGeom prst="rect">
                      <a:avLst/>
                    </a:prstGeom>
                    <a:noFill/>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1</w:t>
      </w:r>
      <w:r>
        <w:fldChar w:fldCharType="end"/>
      </w:r>
      <w:r>
        <w:t xml:space="preserve">  2017</w:t>
      </w:r>
      <w:r>
        <w:rPr>
          <w:rFonts w:hint="eastAsia"/>
        </w:rPr>
        <w:t>-</w:t>
      </w:r>
      <w:r>
        <w:t>2019</w:t>
      </w:r>
      <w:r>
        <w:rPr>
          <w:rFonts w:hint="eastAsia"/>
        </w:rPr>
        <w:t>届本科毕业生总体规模</w:t>
      </w:r>
    </w:p>
    <w:p w:rsidR="00603F28" w:rsidRDefault="00041260">
      <w:pPr>
        <w:pStyle w:val="3"/>
        <w:spacing w:before="120"/>
      </w:pPr>
      <w:bookmarkStart w:id="14" w:name="_Toc27642590"/>
      <w:r>
        <w:rPr>
          <w:rFonts w:hint="eastAsia"/>
        </w:rPr>
        <w:t>（二）毕业生结构</w:t>
      </w:r>
      <w:bookmarkEnd w:id="14"/>
    </w:p>
    <w:p w:rsidR="00603F28" w:rsidRDefault="00041260">
      <w:pPr>
        <w:pStyle w:val="4"/>
        <w:ind w:firstLine="422"/>
      </w:pPr>
      <w:r>
        <w:rPr>
          <w:rFonts w:hint="eastAsia"/>
        </w:rPr>
        <w:t>1.</w:t>
      </w:r>
      <w:r>
        <w:rPr>
          <w:rFonts w:hint="eastAsia"/>
        </w:rPr>
        <w:t>学院结构</w:t>
      </w:r>
    </w:p>
    <w:p w:rsidR="00603F28" w:rsidRDefault="00041260">
      <w:pPr>
        <w:ind w:firstLine="420"/>
      </w:pPr>
      <w:r>
        <w:rPr>
          <w:rFonts w:hint="eastAsia"/>
        </w:rPr>
        <w:t>2</w:t>
      </w:r>
      <w:r>
        <w:t>019</w:t>
      </w:r>
      <w:r>
        <w:rPr>
          <w:rFonts w:hint="eastAsia"/>
        </w:rPr>
        <w:t>届本科毕业生人数前三的学院分别是会计学院（</w:t>
      </w:r>
      <w:r>
        <w:t>981</w:t>
      </w:r>
      <w:r>
        <w:rPr>
          <w:rFonts w:hint="eastAsia"/>
        </w:rPr>
        <w:t>人，占比</w:t>
      </w:r>
      <w:r>
        <w:t>19.11</w:t>
      </w:r>
      <w:r>
        <w:rPr>
          <w:rFonts w:hint="eastAsia"/>
        </w:rPr>
        <w:t>%</w:t>
      </w:r>
      <w:r>
        <w:rPr>
          <w:rFonts w:hint="eastAsia"/>
        </w:rPr>
        <w:t>；其中男性</w:t>
      </w:r>
      <w:r>
        <w:rPr>
          <w:rFonts w:hint="eastAsia"/>
        </w:rPr>
        <w:t>308</w:t>
      </w:r>
      <w:r>
        <w:rPr>
          <w:rFonts w:hint="eastAsia"/>
        </w:rPr>
        <w:t>人，女性</w:t>
      </w:r>
      <w:r>
        <w:rPr>
          <w:rFonts w:hint="eastAsia"/>
        </w:rPr>
        <w:t>673</w:t>
      </w:r>
      <w:r>
        <w:rPr>
          <w:rFonts w:hint="eastAsia"/>
        </w:rPr>
        <w:t>人）、国际学院（</w:t>
      </w:r>
      <w:r>
        <w:t>651</w:t>
      </w:r>
      <w:r>
        <w:rPr>
          <w:rFonts w:hint="eastAsia"/>
        </w:rPr>
        <w:t>人，占比</w:t>
      </w:r>
      <w:r>
        <w:t>12.68</w:t>
      </w:r>
      <w:r>
        <w:rPr>
          <w:rFonts w:hint="eastAsia"/>
        </w:rPr>
        <w:t>%</w:t>
      </w:r>
      <w:r>
        <w:rPr>
          <w:rFonts w:hint="eastAsia"/>
        </w:rPr>
        <w:t>；其中男性</w:t>
      </w:r>
      <w:r>
        <w:t>275</w:t>
      </w:r>
      <w:r>
        <w:rPr>
          <w:rFonts w:hint="eastAsia"/>
        </w:rPr>
        <w:t>人，女性</w:t>
      </w:r>
      <w:r>
        <w:t>376</w:t>
      </w:r>
      <w:r>
        <w:rPr>
          <w:rFonts w:hint="eastAsia"/>
        </w:rPr>
        <w:t>人）、金融学院（</w:t>
      </w:r>
      <w:r>
        <w:t>513</w:t>
      </w:r>
      <w:r>
        <w:rPr>
          <w:rFonts w:hint="eastAsia"/>
        </w:rPr>
        <w:t>人，占比</w:t>
      </w:r>
      <w:r>
        <w:t>9.99</w:t>
      </w:r>
      <w:r>
        <w:rPr>
          <w:rFonts w:hint="eastAsia"/>
        </w:rPr>
        <w:t>%</w:t>
      </w:r>
      <w:r>
        <w:rPr>
          <w:rFonts w:hint="eastAsia"/>
        </w:rPr>
        <w:t>；其中男性</w:t>
      </w:r>
      <w:r>
        <w:t>231</w:t>
      </w:r>
      <w:r>
        <w:rPr>
          <w:rFonts w:hint="eastAsia"/>
        </w:rPr>
        <w:t>人，女性</w:t>
      </w:r>
      <w:r>
        <w:t>282</w:t>
      </w:r>
      <w:r>
        <w:rPr>
          <w:rFonts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w:t>
      </w:r>
      <w:r>
        <w:fldChar w:fldCharType="end"/>
      </w:r>
      <w:r>
        <w:t xml:space="preserve">  2019</w:t>
      </w:r>
      <w:r>
        <w:t>届本科毕业生</w:t>
      </w:r>
      <w:r>
        <w:rPr>
          <w:rFonts w:hint="eastAsia"/>
        </w:rPr>
        <w:t>学院</w:t>
      </w:r>
      <w:r>
        <w:t>结构</w:t>
      </w:r>
    </w:p>
    <w:tbl>
      <w:tblPr>
        <w:tblW w:w="5000" w:type="pct"/>
        <w:tblLook w:val="04A0" w:firstRow="1" w:lastRow="0" w:firstColumn="1" w:lastColumn="0" w:noHBand="0" w:noVBand="1"/>
      </w:tblPr>
      <w:tblGrid>
        <w:gridCol w:w="2216"/>
        <w:gridCol w:w="1014"/>
        <w:gridCol w:w="1014"/>
        <w:gridCol w:w="1014"/>
        <w:gridCol w:w="1014"/>
        <w:gridCol w:w="1093"/>
        <w:gridCol w:w="931"/>
      </w:tblGrid>
      <w:tr w:rsidR="00603F28">
        <w:trPr>
          <w:trHeight w:val="285"/>
          <w:tblHeader/>
        </w:trPr>
        <w:tc>
          <w:tcPr>
            <w:tcW w:w="1336" w:type="pct"/>
            <w:vMerge w:val="restar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学院名称</w:t>
            </w:r>
          </w:p>
        </w:tc>
        <w:tc>
          <w:tcPr>
            <w:tcW w:w="1222"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男</w:t>
            </w:r>
          </w:p>
        </w:tc>
        <w:tc>
          <w:tcPr>
            <w:tcW w:w="1222"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女</w:t>
            </w:r>
          </w:p>
        </w:tc>
        <w:tc>
          <w:tcPr>
            <w:tcW w:w="1220"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r>
      <w:tr w:rsidR="00603F28">
        <w:trPr>
          <w:trHeight w:val="285"/>
          <w:tblHeader/>
        </w:trPr>
        <w:tc>
          <w:tcPr>
            <w:tcW w:w="1336"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b/>
                <w:bCs/>
                <w:color w:val="FFFFFF"/>
                <w:kern w:val="0"/>
                <w:sz w:val="18"/>
                <w:szCs w:val="18"/>
              </w:rPr>
            </w:pPr>
          </w:p>
        </w:tc>
        <w:tc>
          <w:tcPr>
            <w:tcW w:w="611"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611"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c>
          <w:tcPr>
            <w:tcW w:w="611"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611"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c>
          <w:tcPr>
            <w:tcW w:w="659"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56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275</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13.23%</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376</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12.30%</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651</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12.68%</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120</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5.77%</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199</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6.51%</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319</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6.21%</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117</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5.63%</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299</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9.78%</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416</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8.10%</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会计学院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308</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14.82%</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673</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22.02%</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981</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19.11%</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115</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5.53%</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232</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7.59%</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347</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6.76%</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4.28%</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121</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3.96%</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210</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4.09%</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231</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11.12%</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282</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9.23%</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513</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9.99%</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4.28%</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185</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6.05%</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274</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5.34%</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3.75%</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2.75%</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162</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3.16%</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旅游与城市管理学院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2.41%</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2.49%</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126</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2.45%</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62</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2.98%</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2.95%</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152</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2.96%</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302</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14.53%</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3.21%</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400</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7.79%</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1.40%</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1.93%</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1.71%</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1.68%</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2.85%</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122</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2.38%</w:t>
            </w:r>
          </w:p>
        </w:tc>
      </w:tr>
      <w:tr w:rsidR="00603F28">
        <w:trPr>
          <w:trHeight w:val="285"/>
        </w:trPr>
        <w:tc>
          <w:tcPr>
            <w:tcW w:w="1336"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127</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6.11%</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182</w:t>
            </w:r>
          </w:p>
        </w:tc>
        <w:tc>
          <w:tcPr>
            <w:tcW w:w="61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5.96%</w:t>
            </w:r>
          </w:p>
        </w:tc>
        <w:tc>
          <w:tcPr>
            <w:tcW w:w="6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309</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6.02%</w:t>
            </w:r>
          </w:p>
        </w:tc>
      </w:tr>
      <w:tr w:rsidR="00603F28">
        <w:trPr>
          <w:trHeight w:val="285"/>
        </w:trPr>
        <w:tc>
          <w:tcPr>
            <w:tcW w:w="1336"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2.45%</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61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0.43%</w:t>
            </w:r>
          </w:p>
        </w:tc>
        <w:tc>
          <w:tcPr>
            <w:tcW w:w="6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285"/>
        </w:trPr>
        <w:tc>
          <w:tcPr>
            <w:tcW w:w="1336"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61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2078</w:t>
            </w:r>
          </w:p>
        </w:tc>
        <w:tc>
          <w:tcPr>
            <w:tcW w:w="61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c>
          <w:tcPr>
            <w:tcW w:w="61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3056</w:t>
            </w:r>
          </w:p>
        </w:tc>
        <w:tc>
          <w:tcPr>
            <w:tcW w:w="61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c>
          <w:tcPr>
            <w:tcW w:w="659"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5134</w:t>
            </w:r>
          </w:p>
        </w:tc>
        <w:tc>
          <w:tcPr>
            <w:tcW w:w="56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r>
    </w:tbl>
    <w:p w:rsidR="00603F28" w:rsidRDefault="00041260">
      <w:pPr>
        <w:pStyle w:val="4"/>
        <w:ind w:firstLine="422"/>
      </w:pPr>
      <w:r>
        <w:t>2</w:t>
      </w:r>
      <w:r>
        <w:rPr>
          <w:rFonts w:hint="eastAsia"/>
        </w:rPr>
        <w:t>.</w:t>
      </w:r>
      <w:r>
        <w:rPr>
          <w:rFonts w:hint="eastAsia"/>
        </w:rPr>
        <w:t>专业结构</w:t>
      </w:r>
    </w:p>
    <w:p w:rsidR="00603F28" w:rsidRDefault="00041260">
      <w:pPr>
        <w:ind w:firstLine="420"/>
      </w:pPr>
      <w:r>
        <w:rPr>
          <w:rFonts w:hint="eastAsia"/>
        </w:rPr>
        <w:t>2</w:t>
      </w:r>
      <w:r>
        <w:t>019</w:t>
      </w:r>
      <w:r>
        <w:rPr>
          <w:rFonts w:hint="eastAsia"/>
        </w:rPr>
        <w:t>届本科毕业生人数排名前三的学科是：工商管理类（</w:t>
      </w:r>
      <w:r>
        <w:rPr>
          <w:rFonts w:hint="eastAsia"/>
        </w:rPr>
        <w:t>1571</w:t>
      </w:r>
      <w:r>
        <w:rPr>
          <w:rFonts w:hint="eastAsia"/>
        </w:rPr>
        <w:t>人，占比</w:t>
      </w:r>
      <w:r>
        <w:rPr>
          <w:rFonts w:hint="eastAsia"/>
        </w:rPr>
        <w:t>30.60%</w:t>
      </w:r>
      <w:r>
        <w:rPr>
          <w:rFonts w:hint="eastAsia"/>
        </w:rPr>
        <w:t>）、金融学类（</w:t>
      </w:r>
      <w:r>
        <w:rPr>
          <w:rFonts w:hint="eastAsia"/>
        </w:rPr>
        <w:t>828</w:t>
      </w:r>
      <w:r>
        <w:rPr>
          <w:rFonts w:hint="eastAsia"/>
        </w:rPr>
        <w:t>人，占比</w:t>
      </w:r>
      <w:r>
        <w:rPr>
          <w:rFonts w:hint="eastAsia"/>
        </w:rPr>
        <w:t>16.13%</w:t>
      </w:r>
      <w:r>
        <w:rPr>
          <w:rFonts w:hint="eastAsia"/>
        </w:rPr>
        <w:t>）、经济学类（</w:t>
      </w:r>
      <w:r>
        <w:rPr>
          <w:rFonts w:hint="eastAsia"/>
        </w:rPr>
        <w:t>428</w:t>
      </w:r>
      <w:r>
        <w:rPr>
          <w:rFonts w:hint="eastAsia"/>
        </w:rPr>
        <w:t>人，占比</w:t>
      </w:r>
      <w:r>
        <w:rPr>
          <w:rFonts w:hint="eastAsia"/>
        </w:rPr>
        <w:t>8.34%</w:t>
      </w:r>
      <w:r>
        <w:rPr>
          <w:rFonts w:hint="eastAsia"/>
        </w:rPr>
        <w:t>）；人数排名前三的专业是：软件工程（</w:t>
      </w:r>
      <w:r>
        <w:rPr>
          <w:rFonts w:hint="eastAsia"/>
        </w:rPr>
        <w:t>323</w:t>
      </w:r>
      <w:r>
        <w:rPr>
          <w:rFonts w:hint="eastAsia"/>
        </w:rPr>
        <w:t>人，占比</w:t>
      </w:r>
      <w:r>
        <w:t>6.29</w:t>
      </w:r>
      <w:r>
        <w:rPr>
          <w:rFonts w:hint="eastAsia"/>
        </w:rPr>
        <w:t>%</w:t>
      </w:r>
      <w:r>
        <w:rPr>
          <w:rFonts w:hint="eastAsia"/>
        </w:rPr>
        <w:t>；其中男性</w:t>
      </w:r>
      <w:r>
        <w:rPr>
          <w:rFonts w:hint="eastAsia"/>
        </w:rPr>
        <w:t>256</w:t>
      </w:r>
      <w:r>
        <w:rPr>
          <w:rFonts w:hint="eastAsia"/>
        </w:rPr>
        <w:t>人，女性</w:t>
      </w:r>
      <w:r>
        <w:rPr>
          <w:rFonts w:hint="eastAsia"/>
        </w:rPr>
        <w:t>67</w:t>
      </w:r>
      <w:r>
        <w:rPr>
          <w:rFonts w:hint="eastAsia"/>
        </w:rPr>
        <w:t>人）、会计学（国际会计）（</w:t>
      </w:r>
      <w:r>
        <w:t>285</w:t>
      </w:r>
      <w:r>
        <w:rPr>
          <w:rFonts w:hint="eastAsia"/>
        </w:rPr>
        <w:t>人，占比</w:t>
      </w:r>
      <w:r>
        <w:t>5.55</w:t>
      </w:r>
      <w:r>
        <w:rPr>
          <w:rFonts w:hint="eastAsia"/>
        </w:rPr>
        <w:t>%</w:t>
      </w:r>
      <w:r>
        <w:rPr>
          <w:rFonts w:hint="eastAsia"/>
        </w:rPr>
        <w:t>；其中男性</w:t>
      </w:r>
      <w:r>
        <w:t>101</w:t>
      </w:r>
      <w:r>
        <w:rPr>
          <w:rFonts w:hint="eastAsia"/>
        </w:rPr>
        <w:t>人，女性</w:t>
      </w:r>
      <w:r>
        <w:t>184</w:t>
      </w:r>
      <w:r>
        <w:rPr>
          <w:rFonts w:hint="eastAsia"/>
        </w:rPr>
        <w:t>人）、金融学（</w:t>
      </w:r>
      <w:r>
        <w:t>281</w:t>
      </w:r>
      <w:r>
        <w:rPr>
          <w:rFonts w:hint="eastAsia"/>
        </w:rPr>
        <w:t>人，占比</w:t>
      </w:r>
      <w:r>
        <w:t>5.47</w:t>
      </w:r>
      <w:r>
        <w:rPr>
          <w:rFonts w:hint="eastAsia"/>
        </w:rPr>
        <w:t>%</w:t>
      </w:r>
      <w:r>
        <w:rPr>
          <w:rFonts w:hint="eastAsia"/>
        </w:rPr>
        <w:t>；其中男性</w:t>
      </w:r>
      <w:r>
        <w:rPr>
          <w:rFonts w:hint="eastAsia"/>
        </w:rPr>
        <w:t>98</w:t>
      </w:r>
      <w:r>
        <w:rPr>
          <w:rFonts w:hint="eastAsia"/>
        </w:rPr>
        <w:t>人，女性</w:t>
      </w:r>
      <w:r>
        <w:rPr>
          <w:rFonts w:hint="eastAsia"/>
        </w:rPr>
        <w:t>183</w:t>
      </w:r>
      <w:r>
        <w:rPr>
          <w:rFonts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w:t>
      </w:r>
      <w:r>
        <w:fldChar w:fldCharType="end"/>
      </w:r>
      <w:r>
        <w:t xml:space="preserve">  2019</w:t>
      </w:r>
      <w:r>
        <w:rPr>
          <w:rFonts w:hint="eastAsia"/>
        </w:rPr>
        <w:t>届本科毕业生专业结构</w:t>
      </w:r>
    </w:p>
    <w:tbl>
      <w:tblPr>
        <w:tblW w:w="5000" w:type="pct"/>
        <w:tblLook w:val="04A0" w:firstRow="1" w:lastRow="0" w:firstColumn="1" w:lastColumn="0" w:noHBand="0" w:noVBand="1"/>
      </w:tblPr>
      <w:tblGrid>
        <w:gridCol w:w="2405"/>
        <w:gridCol w:w="3829"/>
        <w:gridCol w:w="992"/>
        <w:gridCol w:w="1070"/>
      </w:tblGrid>
      <w:tr w:rsidR="00603F28">
        <w:trPr>
          <w:trHeight w:val="285"/>
          <w:tblHeader/>
        </w:trPr>
        <w:tc>
          <w:tcPr>
            <w:tcW w:w="1449"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学科</w:t>
            </w:r>
          </w:p>
        </w:tc>
        <w:tc>
          <w:tcPr>
            <w:tcW w:w="230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专业</w:t>
            </w:r>
            <w:r>
              <w:rPr>
                <w:rFonts w:ascii="黑体" w:eastAsia="黑体" w:hAnsi="黑体" w:cs="Calibri" w:hint="eastAsia"/>
                <w:b/>
                <w:bCs/>
                <w:color w:val="FFFFFF"/>
                <w:kern w:val="0"/>
                <w:sz w:val="18"/>
                <w:szCs w:val="18"/>
              </w:rPr>
              <w:t>(</w:t>
            </w:r>
            <w:r>
              <w:rPr>
                <w:rFonts w:ascii="黑体" w:eastAsia="黑体" w:hAnsi="黑体" w:cs="Calibri" w:hint="eastAsia"/>
                <w:b/>
                <w:bCs/>
                <w:color w:val="FFFFFF"/>
                <w:kern w:val="0"/>
                <w:sz w:val="18"/>
                <w:szCs w:val="18"/>
              </w:rPr>
              <w:t>含方向</w:t>
            </w:r>
            <w:r>
              <w:rPr>
                <w:rFonts w:ascii="黑体" w:eastAsia="黑体" w:hAnsi="黑体" w:cs="Calibri" w:hint="eastAsia"/>
                <w:b/>
                <w:bCs/>
                <w:color w:val="FFFFFF"/>
                <w:kern w:val="0"/>
                <w:sz w:val="18"/>
                <w:szCs w:val="18"/>
              </w:rPr>
              <w:t>)</w:t>
            </w:r>
          </w:p>
        </w:tc>
        <w:tc>
          <w:tcPr>
            <w:tcW w:w="598"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645"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工商管理类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国际会计</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285</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注册会计师</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228</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(ACCA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财务管理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3.33%</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(CIMA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市场营销</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1.81%</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人力资源管理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1.40%</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市场营销</w:t>
            </w:r>
            <w:r>
              <w:rPr>
                <w:rFonts w:ascii="黑体" w:eastAsia="黑体" w:hAnsi="黑体" w:cs="Calibri" w:hint="eastAsia"/>
                <w:kern w:val="0"/>
                <w:sz w:val="18"/>
                <w:szCs w:val="18"/>
              </w:rPr>
              <w:t>(</w:t>
            </w:r>
            <w:r>
              <w:rPr>
                <w:rFonts w:ascii="黑体" w:eastAsia="黑体" w:hAnsi="黑体" w:cs="Calibri" w:hint="eastAsia"/>
                <w:kern w:val="0"/>
                <w:sz w:val="18"/>
                <w:szCs w:val="18"/>
              </w:rPr>
              <w:t>国际市场营销</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0.55%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文化产业管理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0.53%</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国际商务</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26</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0.51%</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工商管理类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1571</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30.60%</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金融学类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5.47%</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w:t>
            </w:r>
            <w:r>
              <w:rPr>
                <w:rFonts w:ascii="黑体" w:eastAsia="黑体" w:hAnsi="黑体" w:cs="Calibri" w:hint="eastAsia"/>
                <w:kern w:val="0"/>
                <w:sz w:val="18"/>
                <w:szCs w:val="18"/>
              </w:rPr>
              <w:t>国际金融</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投资学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1.81%</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(FRM</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1.73%</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(CFA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1.60%</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保险学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(FRM</w:t>
            </w:r>
            <w:r>
              <w:rPr>
                <w:rFonts w:ascii="黑体" w:eastAsia="黑体" w:hAnsi="黑体" w:cs="Calibri" w:hint="eastAsia"/>
                <w:kern w:val="0"/>
                <w:sz w:val="18"/>
                <w:szCs w:val="18"/>
              </w:rPr>
              <w:t>方向</w:t>
            </w:r>
            <w:r>
              <w:rPr>
                <w:rFonts w:ascii="黑体" w:eastAsia="黑体" w:hAnsi="黑体" w:cs="Calibri" w:hint="eastAsia"/>
                <w:kern w:val="0"/>
                <w:sz w:val="18"/>
                <w:szCs w:val="18"/>
              </w:rPr>
              <w:t>-</w:t>
            </w:r>
            <w:r>
              <w:rPr>
                <w:rFonts w:ascii="黑体" w:eastAsia="黑体" w:hAnsi="黑体" w:cs="Calibri" w:hint="eastAsia"/>
                <w:kern w:val="0"/>
                <w:sz w:val="18"/>
                <w:szCs w:val="18"/>
              </w:rPr>
              <w:t>全球金融风险管理师</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0.02%</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金融学类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828</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16.13%</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经济学类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经济统计学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218</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国民经济管理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0.70%</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经济学类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428</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8.34%</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计算机类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软件工程</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6.29%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计算机科学与技术</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1.01%</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物联网工程</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0.68%</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计算机类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410</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7.99%</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财政学类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税收学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4.56%</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116</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2.26%</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财政学类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350</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6.82%</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经济与贸易类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1.58%</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国际投资与结算</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(CITF</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0.90%</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财务管理</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0.66%</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贸易经济</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0.60%</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经济与贸易类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294</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5.73%</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设计学类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视觉传达设计</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环境设计</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1.89%</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产品设计</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0.99%</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设计学类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245</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4.77%</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法学类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110</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w:t>
            </w:r>
            <w:r>
              <w:rPr>
                <w:rFonts w:ascii="黑体" w:eastAsia="黑体" w:hAnsi="黑体" w:cs="Calibri" w:hint="eastAsia"/>
                <w:kern w:val="0"/>
                <w:sz w:val="18"/>
                <w:szCs w:val="18"/>
              </w:rPr>
              <w:t>(</w:t>
            </w:r>
            <w:r>
              <w:rPr>
                <w:rFonts w:ascii="黑体" w:eastAsia="黑体" w:hAnsi="黑体" w:cs="Calibri" w:hint="eastAsia"/>
                <w:kern w:val="0"/>
                <w:sz w:val="18"/>
                <w:szCs w:val="18"/>
              </w:rPr>
              <w:t>法务会计</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0.82%</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法学类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152</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2.96%</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管理科学与工程类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工程管理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0.88%</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信息管理与信息系统</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0.84%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0.62%</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房地产开发与管理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0.49%</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管理科学与工程类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145</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2.82%</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外国语言文学类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商务英语</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日语</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0.47%</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外国语言文学类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88</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1.71%</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公共管理类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行政管理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劳动与社会保障</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0.64%</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土地资源管理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0.33%</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公共管理类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83</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1.62%</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电子商务类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0.92%</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0.60%</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电子商务类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78</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1.52%</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物流管理与工程类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1.31%</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物流管理与工程类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67</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1.31%</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音乐与舞蹈学类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音乐与舞蹈学类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64</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1.25%</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体育学类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社会体育指导与管理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体育学类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64</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1.25%</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统计学类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应用统计学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1.09%</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统计学类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56</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1.09%</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新闻传播学类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0.53%</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广告学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0.33%</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新闻传播学类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44</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0.86%</w:t>
            </w:r>
          </w:p>
        </w:tc>
      </w:tr>
      <w:tr w:rsidR="00603F28">
        <w:trPr>
          <w:trHeight w:val="285"/>
        </w:trPr>
        <w:tc>
          <w:tcPr>
            <w:tcW w:w="1449"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电子信息类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通信工程</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0.47%</w:t>
            </w:r>
          </w:p>
        </w:tc>
      </w:tr>
      <w:tr w:rsidR="00603F28">
        <w:trPr>
          <w:trHeight w:val="285"/>
        </w:trPr>
        <w:tc>
          <w:tcPr>
            <w:tcW w:w="1449"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color w:val="000000"/>
                <w:kern w:val="0"/>
                <w:sz w:val="18"/>
                <w:szCs w:val="18"/>
              </w:rPr>
            </w:pP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电子信息工程</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0.35%</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电子信息类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42</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0.82%</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旅游管理类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0.76%</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旅游管理类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39</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0.76%</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数学类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信息与计算科学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0.68%</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数学类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35</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0.68%</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社会学类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社会工作</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0.60%</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社会学类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31</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0.60%</w:t>
            </w:r>
          </w:p>
        </w:tc>
      </w:tr>
      <w:tr w:rsidR="00603F28">
        <w:trPr>
          <w:trHeight w:val="285"/>
        </w:trPr>
        <w:tc>
          <w:tcPr>
            <w:tcW w:w="1449"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中国语言文学类</w:t>
            </w:r>
          </w:p>
        </w:tc>
        <w:tc>
          <w:tcPr>
            <w:tcW w:w="2308"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汉语言文学</w:t>
            </w:r>
          </w:p>
        </w:tc>
        <w:tc>
          <w:tcPr>
            <w:tcW w:w="59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6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0.39%</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中国语言文学类</w:t>
            </w:r>
            <w:r>
              <w:rPr>
                <w:rFonts w:ascii="黑体" w:eastAsia="黑体" w:hAnsi="黑体" w:cs="Calibri" w:hint="eastAsia"/>
                <w:b/>
                <w:bCs/>
                <w:kern w:val="0"/>
                <w:sz w:val="18"/>
                <w:szCs w:val="18"/>
              </w:rPr>
              <w:t xml:space="preserve"> </w:t>
            </w:r>
            <w:r>
              <w:rPr>
                <w:rFonts w:ascii="黑体" w:eastAsia="黑体" w:hAnsi="黑体" w:cs="Calibri" w:hint="eastAsia"/>
                <w:b/>
                <w:bCs/>
                <w:kern w:val="0"/>
                <w:sz w:val="18"/>
                <w:szCs w:val="18"/>
              </w:rPr>
              <w:t>汇总</w:t>
            </w:r>
          </w:p>
        </w:tc>
        <w:tc>
          <w:tcPr>
            <w:tcW w:w="59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20</w:t>
            </w:r>
          </w:p>
        </w:tc>
        <w:tc>
          <w:tcPr>
            <w:tcW w:w="6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0.39%</w:t>
            </w:r>
          </w:p>
        </w:tc>
      </w:tr>
      <w:tr w:rsidR="00603F28">
        <w:trPr>
          <w:trHeight w:val="285"/>
        </w:trPr>
        <w:tc>
          <w:tcPr>
            <w:tcW w:w="3757" w:type="pct"/>
            <w:gridSpan w:val="2"/>
            <w:tcBorders>
              <w:top w:val="single" w:sz="4" w:space="0" w:color="auto"/>
              <w:left w:val="single" w:sz="4" w:space="0" w:color="auto"/>
              <w:bottom w:val="single" w:sz="4" w:space="0" w:color="auto"/>
              <w:right w:val="single" w:sz="4" w:space="0" w:color="000000"/>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598"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5134</w:t>
            </w:r>
          </w:p>
        </w:tc>
        <w:tc>
          <w:tcPr>
            <w:tcW w:w="645"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r>
    </w:tbl>
    <w:p w:rsidR="00603F28" w:rsidRDefault="00041260">
      <w:pPr>
        <w:pStyle w:val="4"/>
        <w:ind w:firstLine="422"/>
      </w:pPr>
      <w:r>
        <w:rPr>
          <w:rFonts w:hint="eastAsia"/>
        </w:rPr>
        <w:t>3.</w:t>
      </w:r>
      <w:r>
        <w:rPr>
          <w:rFonts w:hint="eastAsia"/>
        </w:rPr>
        <w:t>生源结构</w:t>
      </w:r>
    </w:p>
    <w:p w:rsidR="00603F28" w:rsidRDefault="00041260">
      <w:pPr>
        <w:ind w:firstLineChars="200" w:firstLine="420"/>
      </w:pPr>
      <w:r>
        <w:rPr>
          <w:rFonts w:hint="eastAsia"/>
        </w:rPr>
        <w:t>201</w:t>
      </w:r>
      <w:r>
        <w:t>9</w:t>
      </w:r>
      <w:r>
        <w:rPr>
          <w:rFonts w:hint="eastAsia"/>
        </w:rPr>
        <w:t>届本科毕业生中，江西籍生源总人数</w:t>
      </w:r>
      <w:r>
        <w:t>3006</w:t>
      </w:r>
      <w:r>
        <w:rPr>
          <w:rFonts w:hint="eastAsia"/>
        </w:rPr>
        <w:t>人（占比</w:t>
      </w:r>
      <w:r>
        <w:t>58.55%</w:t>
      </w:r>
      <w:r>
        <w:rPr>
          <w:rFonts w:hint="eastAsia"/>
        </w:rPr>
        <w:t>），非江西籍生源</w:t>
      </w:r>
      <w:r>
        <w:t>2128</w:t>
      </w:r>
      <w:r>
        <w:rPr>
          <w:rFonts w:hint="eastAsia"/>
        </w:rPr>
        <w:t>人（占比</w:t>
      </w:r>
      <w:r>
        <w:t>41.45%</w:t>
      </w:r>
      <w:r>
        <w:rPr>
          <w:rFonts w:hint="eastAsia"/>
        </w:rPr>
        <w:t>）。</w:t>
      </w:r>
    </w:p>
    <w:p w:rsidR="00603F28" w:rsidRDefault="00041260">
      <w:pPr>
        <w:keepNext/>
      </w:pPr>
      <w:r>
        <w:rPr>
          <w:noProof/>
        </w:rPr>
        <w:lastRenderedPageBreak/>
        <w:drawing>
          <wp:inline distT="0" distB="0" distL="0" distR="0">
            <wp:extent cx="5274310" cy="2880360"/>
            <wp:effectExtent l="4445" t="4445" r="17145" b="10795"/>
            <wp:docPr id="95" name="图表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2</w:t>
      </w:r>
      <w:r>
        <w:fldChar w:fldCharType="end"/>
      </w:r>
      <w:r>
        <w:t xml:space="preserve">  2017</w:t>
      </w:r>
      <w:r>
        <w:rPr>
          <w:rFonts w:hint="eastAsia"/>
        </w:rPr>
        <w:t>-</w:t>
      </w:r>
      <w:r>
        <w:t>2019</w:t>
      </w:r>
      <w:r>
        <w:rPr>
          <w:rFonts w:hint="eastAsia"/>
        </w:rPr>
        <w:t>届本科毕业生省内外生源结构</w:t>
      </w:r>
    </w:p>
    <w:p w:rsidR="00603F28" w:rsidRDefault="00041260">
      <w:pPr>
        <w:ind w:firstLineChars="200" w:firstLine="420"/>
      </w:pPr>
      <w:r>
        <w:rPr>
          <w:rFonts w:hint="eastAsia"/>
        </w:rPr>
        <w:t>201</w:t>
      </w:r>
      <w:r>
        <w:t>9</w:t>
      </w:r>
      <w:r>
        <w:rPr>
          <w:rFonts w:hint="eastAsia"/>
        </w:rPr>
        <w:t>届本科毕业生生源除来自江西省外，主要来源于广东省（</w:t>
      </w:r>
      <w:r>
        <w:rPr>
          <w:rFonts w:hint="eastAsia"/>
        </w:rPr>
        <w:t>168</w:t>
      </w:r>
      <w:r>
        <w:rPr>
          <w:rFonts w:hint="eastAsia"/>
        </w:rPr>
        <w:t>人，占比</w:t>
      </w:r>
      <w:r>
        <w:rPr>
          <w:rFonts w:hint="eastAsia"/>
        </w:rPr>
        <w:t>3.27%</w:t>
      </w:r>
      <w:r>
        <w:rPr>
          <w:rFonts w:hint="eastAsia"/>
        </w:rPr>
        <w:t>）、湖北省（</w:t>
      </w:r>
      <w:r>
        <w:rPr>
          <w:rFonts w:hint="eastAsia"/>
        </w:rPr>
        <w:t>124</w:t>
      </w:r>
      <w:r>
        <w:rPr>
          <w:rFonts w:hint="eastAsia"/>
        </w:rPr>
        <w:t>人，占比</w:t>
      </w:r>
      <w:r>
        <w:rPr>
          <w:rFonts w:hint="eastAsia"/>
        </w:rPr>
        <w:t>2.42%</w:t>
      </w:r>
      <w:r>
        <w:rPr>
          <w:rFonts w:hint="eastAsia"/>
        </w:rPr>
        <w:t>）和安徽省（</w:t>
      </w:r>
      <w:r>
        <w:rPr>
          <w:rFonts w:hint="eastAsia"/>
        </w:rPr>
        <w:t>123</w:t>
      </w:r>
      <w:r>
        <w:rPr>
          <w:rFonts w:hint="eastAsia"/>
        </w:rPr>
        <w:t>人，占比</w:t>
      </w:r>
      <w:r>
        <w:rPr>
          <w:rFonts w:hint="eastAsia"/>
        </w:rPr>
        <w:t>2.40%</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3</w:t>
      </w:r>
      <w:r>
        <w:fldChar w:fldCharType="end"/>
      </w:r>
      <w:r>
        <w:t xml:space="preserve">  2019</w:t>
      </w:r>
      <w:r>
        <w:rPr>
          <w:rFonts w:hint="eastAsia"/>
        </w:rPr>
        <w:t>届本科毕业生各省生源结构</w:t>
      </w:r>
    </w:p>
    <w:tbl>
      <w:tblPr>
        <w:tblW w:w="5000" w:type="pct"/>
        <w:tblLook w:val="04A0" w:firstRow="1" w:lastRow="0" w:firstColumn="1" w:lastColumn="0" w:noHBand="0" w:noVBand="1"/>
      </w:tblPr>
      <w:tblGrid>
        <w:gridCol w:w="813"/>
        <w:gridCol w:w="1067"/>
        <w:gridCol w:w="841"/>
        <w:gridCol w:w="1291"/>
        <w:gridCol w:w="841"/>
        <w:gridCol w:w="1291"/>
        <w:gridCol w:w="813"/>
        <w:gridCol w:w="1339"/>
      </w:tblGrid>
      <w:tr w:rsidR="00603F28">
        <w:trPr>
          <w:trHeight w:val="285"/>
          <w:tblHeader/>
        </w:trPr>
        <w:tc>
          <w:tcPr>
            <w:tcW w:w="490" w:type="pct"/>
            <w:vMerge w:val="restar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643" w:type="pct"/>
            <w:vMerge w:val="restar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生源地</w:t>
            </w:r>
          </w:p>
        </w:tc>
        <w:tc>
          <w:tcPr>
            <w:tcW w:w="1285"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男</w:t>
            </w:r>
          </w:p>
        </w:tc>
        <w:tc>
          <w:tcPr>
            <w:tcW w:w="1285"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女</w:t>
            </w:r>
          </w:p>
        </w:tc>
        <w:tc>
          <w:tcPr>
            <w:tcW w:w="1297"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r>
      <w:tr w:rsidR="00603F28">
        <w:trPr>
          <w:trHeight w:val="285"/>
          <w:tblHeader/>
        </w:trPr>
        <w:tc>
          <w:tcPr>
            <w:tcW w:w="490"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b/>
                <w:bCs/>
                <w:color w:val="FFFFFF"/>
                <w:kern w:val="0"/>
                <w:sz w:val="18"/>
                <w:szCs w:val="18"/>
              </w:rPr>
            </w:pPr>
          </w:p>
        </w:tc>
        <w:tc>
          <w:tcPr>
            <w:tcW w:w="643"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b/>
                <w:bCs/>
                <w:color w:val="FFFFFF"/>
                <w:kern w:val="0"/>
                <w:sz w:val="18"/>
                <w:szCs w:val="18"/>
              </w:rPr>
            </w:pPr>
          </w:p>
        </w:tc>
        <w:tc>
          <w:tcPr>
            <w:tcW w:w="507"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778"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c>
          <w:tcPr>
            <w:tcW w:w="507"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778"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c>
          <w:tcPr>
            <w:tcW w:w="490"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80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1363</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65.59%</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1643</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53.76%</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3006</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58.55%</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广东</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71</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3.42%</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97</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3.17%</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168</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3.27%</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湖北</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2.26%</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2.52%</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124</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2.42%</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安徽</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2.12%</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79</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2.59%</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123</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2.40%</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湖南</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1.59%</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2.72%</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116</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2.26%</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河南</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1.30%</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2.72%</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110</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2.14%</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福建</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1.40%</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78</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2.55%</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107</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2.08%</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江苏</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2.17%</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1.77%</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99</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1.93%</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山东</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2.50%</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1.54%</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99</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1.93%</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甘肃</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2.09%</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1.62%</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浙江</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1.64%</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1.54%</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81</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1.58%</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贵州</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1.83%</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75</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1.46%</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新疆</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0.96%</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1.77%</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74</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1.44%</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山西</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0.96%</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1.57%</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1.32%</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重庆</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1.47%</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1.25%</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广西</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0.67%</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1.51%</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60</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1.17%</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四川</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1.31%</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1.15%</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河北</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1.21%</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1.09%</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云南</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0.53%</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1.47%</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1.09%</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海南</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0.63%</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1.21%</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0.97%</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21</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天津</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0.91%</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0.98%</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0.95%</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黑龙江</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0.67%</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1.05%</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0.90%</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吉林</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0.48%</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1.18%</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0.90%</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1.25%</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0.62%</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0.88%</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辽宁</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0.82%</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0.92%</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0.88%</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内蒙古</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0.53%</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1.11%</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0.88%</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青海</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0.63%</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1.05%</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0.88%</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宁夏</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0.53%</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0.98%</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0.80%</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陕西</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0.72%</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0.82%</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0.78%</w:t>
            </w:r>
          </w:p>
        </w:tc>
      </w:tr>
      <w:tr w:rsidR="00603F28">
        <w:trPr>
          <w:trHeight w:val="285"/>
        </w:trPr>
        <w:tc>
          <w:tcPr>
            <w:tcW w:w="490"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643"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0.82%</w:t>
            </w:r>
          </w:p>
        </w:tc>
        <w:tc>
          <w:tcPr>
            <w:tcW w:w="5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7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0.43%</w:t>
            </w:r>
          </w:p>
        </w:tc>
        <w:tc>
          <w:tcPr>
            <w:tcW w:w="4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80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0.58%</w:t>
            </w:r>
          </w:p>
        </w:tc>
      </w:tr>
      <w:tr w:rsidR="00603F28">
        <w:trPr>
          <w:trHeight w:val="285"/>
        </w:trPr>
        <w:tc>
          <w:tcPr>
            <w:tcW w:w="490"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w:t>
            </w:r>
          </w:p>
        </w:tc>
        <w:tc>
          <w:tcPr>
            <w:tcW w:w="643"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西藏</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0.34%</w:t>
            </w:r>
          </w:p>
        </w:tc>
        <w:tc>
          <w:tcPr>
            <w:tcW w:w="5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7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0.56%</w:t>
            </w:r>
          </w:p>
        </w:tc>
        <w:tc>
          <w:tcPr>
            <w:tcW w:w="4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80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0.47%</w:t>
            </w:r>
          </w:p>
        </w:tc>
      </w:tr>
      <w:tr w:rsidR="00603F28">
        <w:trPr>
          <w:trHeight w:val="285"/>
        </w:trPr>
        <w:tc>
          <w:tcPr>
            <w:tcW w:w="1133" w:type="pct"/>
            <w:gridSpan w:val="2"/>
            <w:tcBorders>
              <w:top w:val="single" w:sz="4" w:space="0" w:color="auto"/>
              <w:left w:val="single" w:sz="4" w:space="0" w:color="auto"/>
              <w:bottom w:val="single" w:sz="4" w:space="0" w:color="auto"/>
              <w:right w:val="single" w:sz="4" w:space="0" w:color="000000"/>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50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2078</w:t>
            </w:r>
          </w:p>
        </w:tc>
        <w:tc>
          <w:tcPr>
            <w:tcW w:w="778"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c>
          <w:tcPr>
            <w:tcW w:w="50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3056</w:t>
            </w:r>
          </w:p>
        </w:tc>
        <w:tc>
          <w:tcPr>
            <w:tcW w:w="778"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c>
          <w:tcPr>
            <w:tcW w:w="490"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5134</w:t>
            </w:r>
          </w:p>
        </w:tc>
        <w:tc>
          <w:tcPr>
            <w:tcW w:w="80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r>
    </w:tbl>
    <w:p w:rsidR="00603F28" w:rsidRDefault="00041260">
      <w:pPr>
        <w:pStyle w:val="4"/>
        <w:ind w:firstLine="422"/>
      </w:pPr>
      <w:r>
        <w:t>4</w:t>
      </w:r>
      <w:r>
        <w:rPr>
          <w:rFonts w:hint="eastAsia"/>
        </w:rPr>
        <w:t>.</w:t>
      </w:r>
      <w:r>
        <w:rPr>
          <w:rFonts w:hint="eastAsia"/>
        </w:rPr>
        <w:t>民族结构</w:t>
      </w:r>
    </w:p>
    <w:p w:rsidR="00603F28" w:rsidRDefault="00041260">
      <w:pPr>
        <w:ind w:firstLineChars="200" w:firstLine="420"/>
      </w:pPr>
      <w:r>
        <w:rPr>
          <w:rFonts w:hint="eastAsia"/>
        </w:rPr>
        <w:t>2019</w:t>
      </w:r>
      <w:r>
        <w:rPr>
          <w:rFonts w:hint="eastAsia"/>
        </w:rPr>
        <w:t>届本科毕业生民族主要是汉族（</w:t>
      </w:r>
      <w:r>
        <w:t>4809</w:t>
      </w:r>
      <w:r>
        <w:rPr>
          <w:rFonts w:hint="eastAsia"/>
        </w:rPr>
        <w:t>人，占比</w:t>
      </w:r>
      <w:r>
        <w:rPr>
          <w:rFonts w:hint="eastAsia"/>
        </w:rPr>
        <w:t>9</w:t>
      </w:r>
      <w:r>
        <w:t>3.67</w:t>
      </w:r>
      <w:r>
        <w:rPr>
          <w:rFonts w:hint="eastAsia"/>
        </w:rPr>
        <w:t>%</w:t>
      </w:r>
      <w:r>
        <w:rPr>
          <w:rFonts w:hint="eastAsia"/>
        </w:rPr>
        <w:t>），土家族、藏族、回族等其他民族毕业生累计占比</w:t>
      </w:r>
      <w:r>
        <w:rPr>
          <w:rFonts w:hint="eastAsia"/>
        </w:rPr>
        <w:t>6.33%</w:t>
      </w:r>
      <w:r>
        <w:rPr>
          <w:rFonts w:hint="eastAsia"/>
        </w:rPr>
        <w:t>。</w:t>
      </w:r>
    </w:p>
    <w:p w:rsidR="00603F28" w:rsidRDefault="00041260">
      <w:pPr>
        <w:pStyle w:val="2"/>
      </w:pPr>
      <w:bookmarkStart w:id="15" w:name="_Toc31856_WPSOffice_Level2"/>
      <w:bookmarkStart w:id="16" w:name="_Toc534724566"/>
      <w:bookmarkStart w:id="17" w:name="_Toc27642591"/>
      <w:r>
        <w:rPr>
          <w:rFonts w:hint="eastAsia"/>
        </w:rPr>
        <w:t>二、毕业生就业率及就业</w:t>
      </w:r>
      <w:bookmarkEnd w:id="15"/>
      <w:bookmarkEnd w:id="16"/>
      <w:r>
        <w:rPr>
          <w:rFonts w:hint="eastAsia"/>
        </w:rPr>
        <w:t>类型</w:t>
      </w:r>
      <w:bookmarkEnd w:id="17"/>
    </w:p>
    <w:p w:rsidR="00603F28" w:rsidRDefault="00041260">
      <w:pPr>
        <w:pStyle w:val="3"/>
        <w:spacing w:before="120"/>
      </w:pPr>
      <w:bookmarkStart w:id="18" w:name="_Toc27642592"/>
      <w:bookmarkStart w:id="19" w:name="_Toc17489_WPSOffice_Level3"/>
      <w:bookmarkStart w:id="20" w:name="_Toc534724567"/>
      <w:r>
        <w:t>（一）毕业生就业率</w:t>
      </w:r>
      <w:bookmarkEnd w:id="18"/>
      <w:bookmarkEnd w:id="19"/>
      <w:bookmarkEnd w:id="20"/>
    </w:p>
    <w:p w:rsidR="00603F28" w:rsidRDefault="00041260">
      <w:pPr>
        <w:pStyle w:val="4"/>
        <w:spacing w:before="120"/>
        <w:ind w:firstLine="482"/>
      </w:pPr>
      <w:r>
        <w:rPr>
          <w:rFonts w:hint="eastAsia"/>
        </w:rPr>
        <w:t>1</w:t>
      </w:r>
      <w:r>
        <w:t>.</w:t>
      </w:r>
      <w:r>
        <w:rPr>
          <w:rFonts w:hint="eastAsia"/>
        </w:rPr>
        <w:t>总体初次就业率和常规就业率</w:t>
      </w:r>
    </w:p>
    <w:p w:rsidR="00603F28" w:rsidRDefault="00041260">
      <w:pPr>
        <w:ind w:firstLine="420"/>
      </w:pPr>
      <w:r>
        <w:rPr>
          <w:rFonts w:hint="eastAsia"/>
        </w:rPr>
        <w:t>截至</w:t>
      </w:r>
      <w:r>
        <w:rPr>
          <w:rFonts w:hint="eastAsia"/>
        </w:rPr>
        <w:t>2</w:t>
      </w:r>
      <w:r>
        <w:t>019</w:t>
      </w:r>
      <w:r>
        <w:rPr>
          <w:rFonts w:hint="eastAsia"/>
        </w:rPr>
        <w:t>年</w:t>
      </w:r>
      <w:r>
        <w:rPr>
          <w:rFonts w:hint="eastAsia"/>
        </w:rPr>
        <w:t>8</w:t>
      </w:r>
      <w:r>
        <w:rPr>
          <w:rFonts w:hint="eastAsia"/>
        </w:rPr>
        <w:t>月</w:t>
      </w:r>
      <w:r>
        <w:rPr>
          <w:rFonts w:hint="eastAsia"/>
        </w:rPr>
        <w:t>31</w:t>
      </w:r>
      <w:r>
        <w:rPr>
          <w:rFonts w:hint="eastAsia"/>
        </w:rPr>
        <w:t>日，</w:t>
      </w:r>
      <w:r>
        <w:rPr>
          <w:rFonts w:hint="eastAsia"/>
        </w:rPr>
        <w:t>2019</w:t>
      </w:r>
      <w:r>
        <w:rPr>
          <w:rFonts w:hint="eastAsia"/>
        </w:rPr>
        <w:t>届本科毕业生就业人数为</w:t>
      </w:r>
      <w:r>
        <w:t>4281</w:t>
      </w:r>
      <w:r>
        <w:rPr>
          <w:rFonts w:hint="eastAsia"/>
        </w:rPr>
        <w:t>人，初次就业率为</w:t>
      </w:r>
      <w:r>
        <w:rPr>
          <w:rFonts w:hint="eastAsia"/>
        </w:rPr>
        <w:t>8</w:t>
      </w:r>
      <w:r>
        <w:t>3.39</w:t>
      </w:r>
      <w:r>
        <w:rPr>
          <w:rFonts w:hint="eastAsia"/>
        </w:rPr>
        <w:t>%</w:t>
      </w:r>
      <w:r>
        <w:rPr>
          <w:rFonts w:hint="eastAsia"/>
        </w:rPr>
        <w:t>。常规就业人数</w:t>
      </w:r>
      <w:r>
        <w:rPr>
          <w:rFonts w:hint="eastAsia"/>
        </w:rPr>
        <w:t>3299</w:t>
      </w:r>
      <w:r>
        <w:rPr>
          <w:rFonts w:hint="eastAsia"/>
        </w:rPr>
        <w:t>人，常规就业率</w:t>
      </w:r>
      <w:r>
        <w:rPr>
          <w:rFonts w:hint="eastAsia"/>
          <w:vertAlign w:val="superscript"/>
        </w:rPr>
        <w:t>[</w:t>
      </w:r>
      <w:r>
        <w:rPr>
          <w:rStyle w:val="afc"/>
        </w:rPr>
        <w:footnoteReference w:id="1"/>
      </w:r>
      <w:r>
        <w:rPr>
          <w:vertAlign w:val="superscript"/>
        </w:rPr>
        <w:t>]</w:t>
      </w:r>
      <w:r>
        <w:rPr>
          <w:rFonts w:hint="eastAsia"/>
        </w:rPr>
        <w:t>64.2</w:t>
      </w:r>
      <w:r>
        <w:t>6</w:t>
      </w:r>
      <w:r>
        <w:rPr>
          <w:rFonts w:hint="eastAsia"/>
        </w:rPr>
        <w:t>%</w:t>
      </w:r>
      <w:r>
        <w:rPr>
          <w:rFonts w:hint="eastAsia"/>
        </w:rPr>
        <w:t>。</w:t>
      </w:r>
    </w:p>
    <w:p w:rsidR="00603F28" w:rsidRDefault="00041260">
      <w:pPr>
        <w:pStyle w:val="4"/>
        <w:spacing w:before="120"/>
        <w:ind w:firstLine="482"/>
      </w:pPr>
      <w:r>
        <w:rPr>
          <w:rFonts w:hint="eastAsia"/>
        </w:rPr>
        <w:t>2</w:t>
      </w:r>
      <w:r>
        <w:t>.</w:t>
      </w:r>
      <w:r>
        <w:rPr>
          <w:rFonts w:hint="eastAsia"/>
        </w:rPr>
        <w:t>各学院毕业生初次就业率</w:t>
      </w:r>
    </w:p>
    <w:p w:rsidR="00603F28" w:rsidRDefault="00041260">
      <w:pPr>
        <w:ind w:firstLineChars="200" w:firstLine="420"/>
      </w:pPr>
      <w:r>
        <w:rPr>
          <w:rFonts w:hint="eastAsia"/>
        </w:rPr>
        <w:t>1</w:t>
      </w:r>
      <w:r>
        <w:t>6</w:t>
      </w:r>
      <w:r>
        <w:rPr>
          <w:rFonts w:hint="eastAsia"/>
        </w:rPr>
        <w:t>个学院中，初次就业率排前三名的是：金融学院（</w:t>
      </w:r>
      <w:r>
        <w:t>90.06%</w:t>
      </w:r>
      <w:r>
        <w:rPr>
          <w:rFonts w:hint="eastAsia"/>
        </w:rPr>
        <w:t>）、旅游与城市管理学院（</w:t>
      </w:r>
      <w:r>
        <w:t>89.68%</w:t>
      </w:r>
      <w:r>
        <w:rPr>
          <w:rFonts w:hint="eastAsia"/>
        </w:rPr>
        <w:t>）、国际学院（</w:t>
      </w:r>
      <w:r>
        <w:t>88.94%</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4</w:t>
      </w:r>
      <w:r>
        <w:fldChar w:fldCharType="end"/>
      </w:r>
      <w:r>
        <w:t xml:space="preserve">  2019</w:t>
      </w:r>
      <w:r>
        <w:rPr>
          <w:rFonts w:hint="eastAsia"/>
        </w:rPr>
        <w:t>届本科毕业生各学院初次就业率</w:t>
      </w:r>
    </w:p>
    <w:tbl>
      <w:tblPr>
        <w:tblW w:w="5000" w:type="pct"/>
        <w:tblLook w:val="04A0" w:firstRow="1" w:lastRow="0" w:firstColumn="1" w:lastColumn="0" w:noHBand="0" w:noVBand="1"/>
      </w:tblPr>
      <w:tblGrid>
        <w:gridCol w:w="1173"/>
        <w:gridCol w:w="4249"/>
        <w:gridCol w:w="1377"/>
        <w:gridCol w:w="1497"/>
      </w:tblGrid>
      <w:tr w:rsidR="00603F28">
        <w:trPr>
          <w:trHeight w:val="285"/>
          <w:tblHeader/>
        </w:trPr>
        <w:tc>
          <w:tcPr>
            <w:tcW w:w="707"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56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院系名称</w:t>
            </w:r>
          </w:p>
        </w:tc>
        <w:tc>
          <w:tcPr>
            <w:tcW w:w="830"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902"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就业率</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579</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88.94%</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271</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84.95%</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3</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317</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76.20%</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825</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84.10%</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290</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83.57%</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178</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84.76%</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462</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90.06%</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237</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86.50%</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144</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88.89%</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旅游与城市管理学院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113</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89.68%</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64.47%</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320</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80.00%</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73</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82.95%</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80.33%</w:t>
            </w:r>
          </w:p>
        </w:tc>
      </w:tr>
      <w:tr w:rsidR="00603F28">
        <w:trPr>
          <w:trHeight w:val="285"/>
        </w:trPr>
        <w:tc>
          <w:tcPr>
            <w:tcW w:w="707"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56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8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221</w:t>
            </w:r>
          </w:p>
        </w:tc>
        <w:tc>
          <w:tcPr>
            <w:tcW w:w="9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71.52%</w:t>
            </w:r>
          </w:p>
        </w:tc>
      </w:tr>
      <w:tr w:rsidR="00603F28">
        <w:trPr>
          <w:trHeight w:val="285"/>
        </w:trPr>
        <w:tc>
          <w:tcPr>
            <w:tcW w:w="707"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56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8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w:t>
            </w:r>
          </w:p>
        </w:tc>
        <w:tc>
          <w:tcPr>
            <w:tcW w:w="9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85.94%</w:t>
            </w:r>
          </w:p>
        </w:tc>
      </w:tr>
      <w:tr w:rsidR="00603F28">
        <w:trPr>
          <w:trHeight w:val="285"/>
        </w:trPr>
        <w:tc>
          <w:tcPr>
            <w:tcW w:w="3268" w:type="pct"/>
            <w:gridSpan w:val="2"/>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830"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4281</w:t>
            </w:r>
          </w:p>
        </w:tc>
        <w:tc>
          <w:tcPr>
            <w:tcW w:w="902"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83.39%</w:t>
            </w:r>
          </w:p>
        </w:tc>
      </w:tr>
    </w:tbl>
    <w:p w:rsidR="00603F28" w:rsidRDefault="00041260">
      <w:pPr>
        <w:pStyle w:val="4"/>
        <w:spacing w:before="120"/>
        <w:ind w:firstLine="482"/>
      </w:pPr>
      <w:r>
        <w:t>3.</w:t>
      </w:r>
      <w:r>
        <w:rPr>
          <w:rFonts w:hint="eastAsia"/>
        </w:rPr>
        <w:t>各专业毕业生初次就业率</w:t>
      </w:r>
    </w:p>
    <w:p w:rsidR="00603F28" w:rsidRDefault="00041260">
      <w:pPr>
        <w:ind w:firstLineChars="200" w:firstLine="420"/>
        <w:rPr>
          <w:szCs w:val="21"/>
        </w:rPr>
      </w:pPr>
      <w:r>
        <w:rPr>
          <w:rFonts w:hint="eastAsia"/>
        </w:rPr>
        <w:t>2</w:t>
      </w:r>
      <w:r>
        <w:t>019</w:t>
      </w:r>
      <w:r>
        <w:rPr>
          <w:rFonts w:hint="eastAsia"/>
        </w:rPr>
        <w:t>届本科毕业生专业中，</w:t>
      </w:r>
      <w:r>
        <w:rPr>
          <w:rFonts w:hint="eastAsia"/>
          <w:szCs w:val="21"/>
        </w:rPr>
        <w:t>初次就业率前三名的专业分别是金融学（</w:t>
      </w:r>
      <w:r>
        <w:rPr>
          <w:rFonts w:hint="eastAsia"/>
          <w:szCs w:val="21"/>
        </w:rPr>
        <w:t>FRM</w:t>
      </w:r>
      <w:r>
        <w:rPr>
          <w:rFonts w:hint="eastAsia"/>
          <w:szCs w:val="21"/>
        </w:rPr>
        <w:t>方向</w:t>
      </w:r>
      <w:r>
        <w:rPr>
          <w:rFonts w:hint="eastAsia"/>
          <w:szCs w:val="21"/>
        </w:rPr>
        <w:t>-</w:t>
      </w:r>
      <w:r>
        <w:rPr>
          <w:rFonts w:hint="eastAsia"/>
          <w:szCs w:val="21"/>
        </w:rPr>
        <w:t>全球金融风险管理师）（</w:t>
      </w:r>
      <w:r>
        <w:rPr>
          <w:rFonts w:hint="eastAsia"/>
          <w:szCs w:val="21"/>
        </w:rPr>
        <w:t>1</w:t>
      </w:r>
      <w:r>
        <w:rPr>
          <w:szCs w:val="21"/>
        </w:rPr>
        <w:t>00</w:t>
      </w:r>
      <w:r>
        <w:rPr>
          <w:rFonts w:hint="eastAsia"/>
          <w:szCs w:val="21"/>
        </w:rPr>
        <w:t>%</w:t>
      </w:r>
      <w:r>
        <w:rPr>
          <w:rFonts w:hint="eastAsia"/>
          <w:szCs w:val="21"/>
        </w:rPr>
        <w:t>）、国际经济与贸易（国际投资与结算）（</w:t>
      </w:r>
      <w:r>
        <w:rPr>
          <w:rFonts w:hint="eastAsia"/>
          <w:szCs w:val="21"/>
        </w:rPr>
        <w:t>9</w:t>
      </w:r>
      <w:r>
        <w:rPr>
          <w:szCs w:val="21"/>
        </w:rPr>
        <w:t>6.08%</w:t>
      </w:r>
      <w:r>
        <w:rPr>
          <w:rFonts w:hint="eastAsia"/>
          <w:szCs w:val="21"/>
        </w:rPr>
        <w:t>）、房地产开发与管理（</w:t>
      </w:r>
      <w:r>
        <w:rPr>
          <w:rFonts w:hint="eastAsia"/>
          <w:szCs w:val="21"/>
        </w:rPr>
        <w:t>96.00%</w:t>
      </w:r>
      <w:r>
        <w:rPr>
          <w:rFonts w:hint="eastAsia"/>
          <w:szCs w:val="21"/>
        </w:rPr>
        <w:t>）；常规就业率前三名的专业分别是信息管理与信息系统（</w:t>
      </w:r>
      <w:r>
        <w:rPr>
          <w:rFonts w:hint="eastAsia"/>
          <w:szCs w:val="21"/>
        </w:rPr>
        <w:t>83.72%</w:t>
      </w:r>
      <w:r>
        <w:rPr>
          <w:rFonts w:hint="eastAsia"/>
          <w:szCs w:val="21"/>
        </w:rPr>
        <w:t>）、保险学（</w:t>
      </w:r>
      <w:r>
        <w:rPr>
          <w:rFonts w:hint="eastAsia"/>
          <w:szCs w:val="21"/>
        </w:rPr>
        <w:t>83.67%</w:t>
      </w:r>
      <w:r>
        <w:rPr>
          <w:rFonts w:hint="eastAsia"/>
          <w:szCs w:val="21"/>
        </w:rPr>
        <w:t>）、电子信息工程（</w:t>
      </w:r>
      <w:r>
        <w:rPr>
          <w:rFonts w:hint="eastAsia"/>
          <w:szCs w:val="21"/>
        </w:rPr>
        <w:t>83.33%</w:t>
      </w:r>
      <w:r>
        <w:rPr>
          <w:rFonts w:hint="eastAsia"/>
          <w:szCs w:val="21"/>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5</w:t>
      </w:r>
      <w:r>
        <w:fldChar w:fldCharType="end"/>
      </w:r>
      <w:r>
        <w:t xml:space="preserve">  2019</w:t>
      </w:r>
      <w:r>
        <w:rPr>
          <w:rFonts w:hint="eastAsia"/>
        </w:rPr>
        <w:t>届本科毕业生各专业初次就业率</w:t>
      </w:r>
    </w:p>
    <w:tbl>
      <w:tblPr>
        <w:tblW w:w="5000" w:type="pct"/>
        <w:tblLook w:val="04A0" w:firstRow="1" w:lastRow="0" w:firstColumn="1" w:lastColumn="0" w:noHBand="0" w:noVBand="1"/>
      </w:tblPr>
      <w:tblGrid>
        <w:gridCol w:w="797"/>
        <w:gridCol w:w="4847"/>
        <w:gridCol w:w="1487"/>
        <w:gridCol w:w="1165"/>
      </w:tblGrid>
      <w:tr w:rsidR="00603F28">
        <w:trPr>
          <w:trHeight w:val="285"/>
          <w:tblHeader/>
        </w:trPr>
        <w:tc>
          <w:tcPr>
            <w:tcW w:w="481"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bookmarkStart w:id="21" w:name="_Toc17489_WPSOffice_Level2"/>
            <w:bookmarkStart w:id="22" w:name="_Toc534724569"/>
            <w:r>
              <w:rPr>
                <w:rFonts w:ascii="黑体" w:eastAsia="黑体" w:hAnsi="黑体" w:cs="Calibri" w:hint="eastAsia"/>
                <w:b/>
                <w:bCs/>
                <w:color w:val="FFFFFF"/>
                <w:kern w:val="0"/>
                <w:sz w:val="18"/>
                <w:szCs w:val="18"/>
              </w:rPr>
              <w:t>序号</w:t>
            </w:r>
          </w:p>
        </w:tc>
        <w:tc>
          <w:tcPr>
            <w:tcW w:w="292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专业</w:t>
            </w:r>
          </w:p>
        </w:tc>
        <w:tc>
          <w:tcPr>
            <w:tcW w:w="896"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就业人数</w:t>
            </w:r>
          </w:p>
        </w:tc>
        <w:tc>
          <w:tcPr>
            <w:tcW w:w="702" w:type="pct"/>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就业率</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(FRM</w:t>
            </w:r>
            <w:r>
              <w:rPr>
                <w:rFonts w:ascii="黑体" w:eastAsia="黑体" w:hAnsi="黑体" w:cs="Calibri" w:hint="eastAsia"/>
                <w:kern w:val="0"/>
                <w:sz w:val="18"/>
                <w:szCs w:val="18"/>
              </w:rPr>
              <w:t>方向</w:t>
            </w:r>
            <w:r>
              <w:rPr>
                <w:rFonts w:ascii="黑体" w:eastAsia="黑体" w:hAnsi="黑体" w:cs="Calibri" w:hint="eastAsia"/>
                <w:kern w:val="0"/>
                <w:sz w:val="18"/>
                <w:szCs w:val="18"/>
              </w:rPr>
              <w:t>-</w:t>
            </w:r>
            <w:r>
              <w:rPr>
                <w:rFonts w:ascii="黑体" w:eastAsia="黑体" w:hAnsi="黑体" w:cs="Calibri" w:hint="eastAsia"/>
                <w:kern w:val="0"/>
                <w:sz w:val="18"/>
                <w:szCs w:val="18"/>
              </w:rPr>
              <w:t>全球金融风险管理师</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国际投资与结算</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96.08%</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房地产开发与管理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96.00%</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信息管理与信息系统</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93.02%</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(CFA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92.68%</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市场营销</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92.47%</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国民经济管理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91.67%</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通信工程</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91.67%</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投资学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91.40%</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w:t>
            </w:r>
            <w:r>
              <w:rPr>
                <w:rFonts w:ascii="黑体" w:eastAsia="黑体" w:hAnsi="黑体" w:cs="Calibri" w:hint="eastAsia"/>
                <w:kern w:val="0"/>
                <w:sz w:val="18"/>
                <w:szCs w:val="18"/>
              </w:rPr>
              <w:t>国际金融</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212</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90.99%</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90.75%</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90.63%</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(CITF</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90.20%</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汉语言文学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90.00%</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89.74%</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市场营销</w:t>
            </w:r>
            <w:r>
              <w:rPr>
                <w:rFonts w:ascii="黑体" w:eastAsia="黑体" w:hAnsi="黑体" w:cs="Calibri" w:hint="eastAsia"/>
                <w:kern w:val="0"/>
                <w:sz w:val="18"/>
                <w:szCs w:val="18"/>
              </w:rPr>
              <w:t>(</w:t>
            </w:r>
            <w:r>
              <w:rPr>
                <w:rFonts w:ascii="黑体" w:eastAsia="黑体" w:hAnsi="黑体" w:cs="Calibri" w:hint="eastAsia"/>
                <w:kern w:val="0"/>
                <w:sz w:val="18"/>
                <w:szCs w:val="18"/>
              </w:rPr>
              <w:t>国际市场营销</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89.29%</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17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应用统计学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89.29%</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电子信息工程</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88.89%</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国际商务</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88.46%</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财务管理</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88.24%</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土地资源管理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88.24%</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保险学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87.76%</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(FRM</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87.64%</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工程管理</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86.67%</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计算机科学与技术</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86.54%</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国际会计</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245</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85.96%</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社会体育指导与管理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85.94%</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经济统计学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187</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85.78%</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信息与计算科学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85.71%</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85.57%</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文化产业管理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85.19%</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(CIMA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85.00%</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财务管理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145</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84.80%</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84.78%</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人力资源管理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84.72%</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(ACCA</w:t>
            </w:r>
            <w:r>
              <w:rPr>
                <w:rFonts w:ascii="黑体" w:eastAsia="黑体" w:hAnsi="黑体" w:cs="Calibri" w:hint="eastAsia"/>
                <w:kern w:val="0"/>
                <w:sz w:val="18"/>
                <w:szCs w:val="18"/>
              </w:rPr>
              <w:t>方向</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180</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84.51%</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注册会计师</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190</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83.33%</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145</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83.33%</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日语</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83.33%</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82.98%</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商务英语</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82.81%</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142</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82.56%</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税收学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82.48%</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82.09%</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软件工程</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256</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79.26%</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国际经济与贸易</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63</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77.78%</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77.78%</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贸易经济</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77.42%</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社会工作</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77.42%</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76.56%</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74.58%</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产品设计</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74.51%</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物联网工程</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26</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74.29%</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视觉传达设计</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74.23%</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74.19%</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72.41%</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广告学</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70.59%</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67.27%</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59</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环境设计</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62</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63.92%</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行政管理</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60.61%</w:t>
            </w:r>
          </w:p>
        </w:tc>
      </w:tr>
      <w:tr w:rsidR="00603F28">
        <w:trPr>
          <w:trHeight w:val="285"/>
        </w:trPr>
        <w:tc>
          <w:tcPr>
            <w:tcW w:w="481"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w:t>
            </w:r>
          </w:p>
        </w:tc>
        <w:tc>
          <w:tcPr>
            <w:tcW w:w="2921"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劳动与社会保障</w:t>
            </w:r>
          </w:p>
        </w:tc>
        <w:tc>
          <w:tcPr>
            <w:tcW w:w="89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7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60.61%</w:t>
            </w:r>
          </w:p>
        </w:tc>
      </w:tr>
      <w:tr w:rsidR="00603F28">
        <w:trPr>
          <w:trHeight w:val="285"/>
        </w:trPr>
        <w:tc>
          <w:tcPr>
            <w:tcW w:w="481"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62</w:t>
            </w:r>
          </w:p>
        </w:tc>
        <w:tc>
          <w:tcPr>
            <w:tcW w:w="2921"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w:t>
            </w:r>
            <w:r>
              <w:rPr>
                <w:rFonts w:ascii="黑体" w:eastAsia="黑体" w:hAnsi="黑体" w:cs="Calibri" w:hint="eastAsia"/>
                <w:kern w:val="0"/>
                <w:sz w:val="18"/>
                <w:szCs w:val="18"/>
              </w:rPr>
              <w:t>(</w:t>
            </w:r>
            <w:r>
              <w:rPr>
                <w:rFonts w:ascii="黑体" w:eastAsia="黑体" w:hAnsi="黑体" w:cs="Calibri" w:hint="eastAsia"/>
                <w:kern w:val="0"/>
                <w:sz w:val="18"/>
                <w:szCs w:val="18"/>
              </w:rPr>
              <w:t>法务会计</w:t>
            </w:r>
            <w:r>
              <w:rPr>
                <w:rFonts w:ascii="黑体" w:eastAsia="黑体" w:hAnsi="黑体" w:cs="Calibri" w:hint="eastAsia"/>
                <w:kern w:val="0"/>
                <w:sz w:val="18"/>
                <w:szCs w:val="18"/>
              </w:rPr>
              <w:t>)</w:t>
            </w:r>
          </w:p>
        </w:tc>
        <w:tc>
          <w:tcPr>
            <w:tcW w:w="89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70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57.14%</w:t>
            </w:r>
          </w:p>
        </w:tc>
      </w:tr>
      <w:tr w:rsidR="00603F28">
        <w:trPr>
          <w:trHeight w:val="285"/>
        </w:trPr>
        <w:tc>
          <w:tcPr>
            <w:tcW w:w="3402" w:type="pct"/>
            <w:gridSpan w:val="2"/>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896"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4281</w:t>
            </w:r>
          </w:p>
        </w:tc>
        <w:tc>
          <w:tcPr>
            <w:tcW w:w="702"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83.39%</w:t>
            </w:r>
          </w:p>
        </w:tc>
      </w:tr>
    </w:tbl>
    <w:p w:rsidR="00603F28" w:rsidRDefault="00041260">
      <w:pPr>
        <w:pStyle w:val="3"/>
        <w:spacing w:before="120"/>
      </w:pPr>
      <w:bookmarkStart w:id="23" w:name="_Toc27642593"/>
      <w:r>
        <w:t>（</w:t>
      </w:r>
      <w:r>
        <w:rPr>
          <w:rFonts w:hint="eastAsia"/>
        </w:rPr>
        <w:t>二</w:t>
      </w:r>
      <w:r>
        <w:t>）毕业生就业</w:t>
      </w:r>
      <w:r>
        <w:rPr>
          <w:rFonts w:hint="eastAsia"/>
        </w:rPr>
        <w:t>类型</w:t>
      </w:r>
      <w:bookmarkEnd w:id="23"/>
    </w:p>
    <w:p w:rsidR="00603F28" w:rsidRDefault="00041260">
      <w:pPr>
        <w:ind w:firstLineChars="200" w:firstLine="420"/>
      </w:pPr>
      <w:r>
        <w:rPr>
          <w:rFonts w:hint="eastAsia"/>
        </w:rPr>
        <w:t>2</w:t>
      </w:r>
      <w:r>
        <w:t>019</w:t>
      </w:r>
      <w:r>
        <w:rPr>
          <w:rFonts w:hint="eastAsia"/>
        </w:rPr>
        <w:t>届本科毕业生中，以高质量签约</w:t>
      </w:r>
      <w:r>
        <w:rPr>
          <w:rFonts w:hint="eastAsia"/>
          <w:sz w:val="18"/>
          <w:szCs w:val="18"/>
          <w:vertAlign w:val="superscript"/>
        </w:rPr>
        <w:t>[</w:t>
      </w:r>
      <w:r>
        <w:rPr>
          <w:rStyle w:val="afc"/>
          <w:sz w:val="18"/>
          <w:szCs w:val="18"/>
        </w:rPr>
        <w:footnoteReference w:id="2"/>
      </w:r>
      <w:r>
        <w:rPr>
          <w:sz w:val="18"/>
          <w:szCs w:val="18"/>
          <w:vertAlign w:val="superscript"/>
        </w:rPr>
        <w:t>]</w:t>
      </w:r>
      <w:r>
        <w:rPr>
          <w:rFonts w:hint="eastAsia"/>
          <w:szCs w:val="21"/>
        </w:rPr>
        <w:t>就业</w:t>
      </w:r>
      <w:r>
        <w:rPr>
          <w:rFonts w:hint="eastAsia"/>
        </w:rPr>
        <w:t>为主，为</w:t>
      </w:r>
      <w:r>
        <w:rPr>
          <w:rFonts w:hint="eastAsia"/>
        </w:rPr>
        <w:t>1</w:t>
      </w:r>
      <w:r>
        <w:t>659</w:t>
      </w:r>
      <w:r>
        <w:rPr>
          <w:rFonts w:hint="eastAsia"/>
        </w:rPr>
        <w:t>人，占比</w:t>
      </w:r>
      <w:r>
        <w:rPr>
          <w:rFonts w:hint="eastAsia"/>
        </w:rPr>
        <w:t>32.3</w:t>
      </w:r>
      <w:r>
        <w:t>1</w:t>
      </w:r>
      <w:r>
        <w:rPr>
          <w:rFonts w:hint="eastAsia"/>
        </w:rPr>
        <w:t>%</w:t>
      </w:r>
      <w:r>
        <w:rPr>
          <w:rFonts w:hint="eastAsia"/>
        </w:rPr>
        <w:t>；其次是灵活就业</w:t>
      </w:r>
      <w:r>
        <w:rPr>
          <w:rFonts w:hint="eastAsia"/>
        </w:rPr>
        <w:t>9</w:t>
      </w:r>
      <w:r>
        <w:t>82</w:t>
      </w:r>
      <w:r>
        <w:rPr>
          <w:rFonts w:hint="eastAsia"/>
        </w:rPr>
        <w:t>人，占比</w:t>
      </w:r>
      <w:r>
        <w:rPr>
          <w:rFonts w:hint="eastAsia"/>
        </w:rPr>
        <w:t>19.13%</w:t>
      </w:r>
      <w:r>
        <w:rPr>
          <w:rFonts w:hint="eastAsia"/>
        </w:rPr>
        <w:t>。</w:t>
      </w:r>
    </w:p>
    <w:p w:rsidR="00603F28" w:rsidRDefault="00041260">
      <w:pPr>
        <w:keepNext/>
        <w:jc w:val="center"/>
      </w:pPr>
      <w:r>
        <w:rPr>
          <w:noProof/>
        </w:rPr>
        <w:drawing>
          <wp:inline distT="0" distB="0" distL="0" distR="0">
            <wp:extent cx="4977130" cy="2574290"/>
            <wp:effectExtent l="0" t="0" r="0" b="0"/>
            <wp:docPr id="97" name="图表 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3</w:t>
      </w:r>
      <w:r>
        <w:fldChar w:fldCharType="end"/>
      </w:r>
      <w:r>
        <w:t xml:space="preserve">  2019</w:t>
      </w:r>
      <w:r>
        <w:rPr>
          <w:rFonts w:hint="eastAsia"/>
        </w:rPr>
        <w:t>届本科毕业生主要就业类型</w:t>
      </w:r>
    </w:p>
    <w:p w:rsidR="00603F28" w:rsidRDefault="00041260">
      <w:pPr>
        <w:ind w:firstLineChars="200" w:firstLine="420"/>
      </w:pPr>
      <w:r>
        <w:rPr>
          <w:rFonts w:hint="eastAsia"/>
        </w:rPr>
        <w:t>从学院来看，会计学院、金融学院毕业生以高质量签约就业为主（</w:t>
      </w:r>
      <w:r>
        <w:rPr>
          <w:rFonts w:hint="eastAsia"/>
        </w:rPr>
        <w:t>360</w:t>
      </w:r>
      <w:r>
        <w:rPr>
          <w:rFonts w:hint="eastAsia"/>
        </w:rPr>
        <w:t>人和</w:t>
      </w:r>
      <w:r>
        <w:rPr>
          <w:rFonts w:hint="eastAsia"/>
        </w:rPr>
        <w:t>213</w:t>
      </w:r>
      <w:r>
        <w:rPr>
          <w:rFonts w:hint="eastAsia"/>
        </w:rPr>
        <w:t>人），国际学院出国人数居多（</w:t>
      </w:r>
      <w:r>
        <w:rPr>
          <w:rFonts w:hint="eastAsia"/>
        </w:rPr>
        <w:t>221</w:t>
      </w:r>
      <w:r>
        <w:rPr>
          <w:rFonts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6</w:t>
      </w:r>
      <w:r>
        <w:fldChar w:fldCharType="end"/>
      </w:r>
      <w:r>
        <w:t xml:space="preserve">  2019</w:t>
      </w:r>
      <w:r>
        <w:rPr>
          <w:rFonts w:hint="eastAsia"/>
        </w:rPr>
        <w:t>届本科毕业生各学院就业类型</w:t>
      </w:r>
    </w:p>
    <w:tbl>
      <w:tblPr>
        <w:tblW w:w="5000" w:type="pct"/>
        <w:tblLayout w:type="fixed"/>
        <w:tblLook w:val="04A0" w:firstRow="1" w:lastRow="0" w:firstColumn="1" w:lastColumn="0" w:noHBand="0" w:noVBand="1"/>
      </w:tblPr>
      <w:tblGrid>
        <w:gridCol w:w="2264"/>
        <w:gridCol w:w="708"/>
        <w:gridCol w:w="710"/>
        <w:gridCol w:w="708"/>
        <w:gridCol w:w="425"/>
        <w:gridCol w:w="430"/>
        <w:gridCol w:w="421"/>
        <w:gridCol w:w="853"/>
        <w:gridCol w:w="566"/>
        <w:gridCol w:w="567"/>
        <w:gridCol w:w="644"/>
      </w:tblGrid>
      <w:tr w:rsidR="00603F28">
        <w:trPr>
          <w:trHeight w:val="300"/>
          <w:tblHeader/>
        </w:trPr>
        <w:tc>
          <w:tcPr>
            <w:tcW w:w="136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学院</w:t>
            </w:r>
          </w:p>
        </w:tc>
        <w:tc>
          <w:tcPr>
            <w:tcW w:w="42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升学</w:t>
            </w:r>
          </w:p>
        </w:tc>
        <w:tc>
          <w:tcPr>
            <w:tcW w:w="42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出国</w:t>
            </w:r>
          </w:p>
        </w:tc>
        <w:tc>
          <w:tcPr>
            <w:tcW w:w="42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部队</w:t>
            </w:r>
          </w:p>
        </w:tc>
        <w:tc>
          <w:tcPr>
            <w:tcW w:w="25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自主创业</w:t>
            </w:r>
          </w:p>
        </w:tc>
        <w:tc>
          <w:tcPr>
            <w:tcW w:w="259"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基层项目</w:t>
            </w:r>
          </w:p>
        </w:tc>
        <w:tc>
          <w:tcPr>
            <w:tcW w:w="25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公务员</w:t>
            </w:r>
          </w:p>
        </w:tc>
        <w:tc>
          <w:tcPr>
            <w:tcW w:w="51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高质量签约</w:t>
            </w:r>
          </w:p>
        </w:tc>
        <w:tc>
          <w:tcPr>
            <w:tcW w:w="34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灵活就业</w:t>
            </w:r>
          </w:p>
        </w:tc>
        <w:tc>
          <w:tcPr>
            <w:tcW w:w="34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未就业</w:t>
            </w:r>
          </w:p>
        </w:tc>
        <w:tc>
          <w:tcPr>
            <w:tcW w:w="38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79</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221</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174</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651</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138</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319</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122</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97</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99</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416</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171</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167</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360</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114</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156</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981</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101</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347</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210</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109</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213</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513</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统计学院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79</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66</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274</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162</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旅游与城市管理学院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126</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32</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152</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141</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400</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122</w:t>
            </w:r>
          </w:p>
        </w:tc>
      </w:tr>
      <w:tr w:rsidR="00603F28">
        <w:trPr>
          <w:trHeight w:val="300"/>
        </w:trPr>
        <w:tc>
          <w:tcPr>
            <w:tcW w:w="136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42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42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5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w:t>
            </w:r>
          </w:p>
        </w:tc>
        <w:tc>
          <w:tcPr>
            <w:tcW w:w="3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132</w:t>
            </w:r>
          </w:p>
        </w:tc>
        <w:tc>
          <w:tcPr>
            <w:tcW w:w="3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w:t>
            </w:r>
          </w:p>
        </w:tc>
        <w:tc>
          <w:tcPr>
            <w:tcW w:w="38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309</w:t>
            </w:r>
          </w:p>
        </w:tc>
      </w:tr>
      <w:tr w:rsidR="00603F28">
        <w:trPr>
          <w:trHeight w:val="300"/>
        </w:trPr>
        <w:tc>
          <w:tcPr>
            <w:tcW w:w="136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42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42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5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w:t>
            </w:r>
          </w:p>
        </w:tc>
        <w:tc>
          <w:tcPr>
            <w:tcW w:w="3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3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38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w:t>
            </w:r>
          </w:p>
        </w:tc>
      </w:tr>
      <w:tr w:rsidR="00603F28">
        <w:trPr>
          <w:trHeight w:val="300"/>
        </w:trPr>
        <w:tc>
          <w:tcPr>
            <w:tcW w:w="1364"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42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896</w:t>
            </w:r>
          </w:p>
        </w:tc>
        <w:tc>
          <w:tcPr>
            <w:tcW w:w="428"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642</w:t>
            </w:r>
          </w:p>
        </w:tc>
        <w:tc>
          <w:tcPr>
            <w:tcW w:w="42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w:t>
            </w:r>
          </w:p>
        </w:tc>
        <w:tc>
          <w:tcPr>
            <w:tcW w:w="256"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24</w:t>
            </w:r>
          </w:p>
        </w:tc>
        <w:tc>
          <w:tcPr>
            <w:tcW w:w="259"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26</w:t>
            </w:r>
          </w:p>
        </w:tc>
        <w:tc>
          <w:tcPr>
            <w:tcW w:w="25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49</w:t>
            </w:r>
          </w:p>
        </w:tc>
        <w:tc>
          <w:tcPr>
            <w:tcW w:w="51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1659</w:t>
            </w:r>
          </w:p>
        </w:tc>
        <w:tc>
          <w:tcPr>
            <w:tcW w:w="34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982</w:t>
            </w:r>
          </w:p>
        </w:tc>
        <w:tc>
          <w:tcPr>
            <w:tcW w:w="342"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853</w:t>
            </w:r>
          </w:p>
        </w:tc>
        <w:tc>
          <w:tcPr>
            <w:tcW w:w="388"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5134</w:t>
            </w:r>
          </w:p>
        </w:tc>
      </w:tr>
    </w:tbl>
    <w:p w:rsidR="00603F28" w:rsidRDefault="00041260">
      <w:pPr>
        <w:pStyle w:val="3"/>
        <w:spacing w:before="120"/>
      </w:pPr>
      <w:bookmarkStart w:id="24" w:name="_Toc27642594"/>
      <w:r>
        <w:t>（</w:t>
      </w:r>
      <w:r>
        <w:rPr>
          <w:rFonts w:hint="eastAsia"/>
        </w:rPr>
        <w:t>三</w:t>
      </w:r>
      <w:r>
        <w:t>）毕业生就业</w:t>
      </w:r>
      <w:r>
        <w:rPr>
          <w:rFonts w:hint="eastAsia"/>
        </w:rPr>
        <w:t>去向</w:t>
      </w:r>
      <w:bookmarkEnd w:id="24"/>
    </w:p>
    <w:p w:rsidR="00603F28" w:rsidRDefault="00041260">
      <w:pPr>
        <w:ind w:firstLineChars="200" w:firstLine="420"/>
      </w:pPr>
      <w:r>
        <w:rPr>
          <w:rFonts w:hint="eastAsia"/>
        </w:rPr>
        <w:t>2019</w:t>
      </w:r>
      <w:r>
        <w:rPr>
          <w:rFonts w:hint="eastAsia"/>
        </w:rPr>
        <w:t>届本科毕业生的主要就业去向为“签就业协议形式就业”（</w:t>
      </w:r>
      <w:r>
        <w:rPr>
          <w:rFonts w:hint="eastAsia"/>
        </w:rPr>
        <w:t>2</w:t>
      </w:r>
      <w:r>
        <w:t>204</w:t>
      </w:r>
      <w:r>
        <w:rPr>
          <w:rFonts w:hint="eastAsia"/>
        </w:rPr>
        <w:t>人，占比</w:t>
      </w:r>
      <w:r>
        <w:rPr>
          <w:rFonts w:hint="eastAsia"/>
        </w:rPr>
        <w:t>42.91%</w:t>
      </w:r>
      <w:r>
        <w:rPr>
          <w:rFonts w:hint="eastAsia"/>
        </w:rPr>
        <w:t>）、“升学”（</w:t>
      </w:r>
      <w:r>
        <w:rPr>
          <w:rFonts w:hint="eastAsia"/>
        </w:rPr>
        <w:t>896</w:t>
      </w:r>
      <w:r>
        <w:rPr>
          <w:rFonts w:hint="eastAsia"/>
        </w:rPr>
        <w:t>人，占比</w:t>
      </w:r>
      <w:r>
        <w:rPr>
          <w:rFonts w:hint="eastAsia"/>
        </w:rPr>
        <w:t>17.45%</w:t>
      </w:r>
      <w:r>
        <w:rPr>
          <w:rFonts w:hint="eastAsia"/>
        </w:rPr>
        <w:t>）和“出国、出境”（</w:t>
      </w:r>
      <w:r>
        <w:rPr>
          <w:rFonts w:hint="eastAsia"/>
        </w:rPr>
        <w:t>64</w:t>
      </w:r>
      <w:r>
        <w:t>2</w:t>
      </w:r>
      <w:r>
        <w:rPr>
          <w:rFonts w:hint="eastAsia"/>
        </w:rPr>
        <w:t>人，占比</w:t>
      </w:r>
      <w:r>
        <w:rPr>
          <w:rFonts w:hint="eastAsia"/>
        </w:rPr>
        <w:t>12.5</w:t>
      </w:r>
      <w:r>
        <w:t>0</w:t>
      </w:r>
      <w:r>
        <w:rPr>
          <w:rFonts w:hint="eastAsia"/>
        </w:rPr>
        <w:t>%</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7</w:t>
      </w:r>
      <w:r>
        <w:fldChar w:fldCharType="end"/>
      </w:r>
      <w:r>
        <w:t xml:space="preserve">  2019</w:t>
      </w:r>
      <w:r>
        <w:rPr>
          <w:rFonts w:hint="eastAsia"/>
        </w:rPr>
        <w:t>届本科毕业生主要就业去向</w:t>
      </w:r>
    </w:p>
    <w:tbl>
      <w:tblPr>
        <w:tblW w:w="5000" w:type="pct"/>
        <w:tblLook w:val="04A0" w:firstRow="1" w:lastRow="0" w:firstColumn="1" w:lastColumn="0" w:noHBand="0" w:noVBand="1"/>
      </w:tblPr>
      <w:tblGrid>
        <w:gridCol w:w="2437"/>
        <w:gridCol w:w="962"/>
        <w:gridCol w:w="986"/>
        <w:gridCol w:w="1000"/>
        <w:gridCol w:w="947"/>
        <w:gridCol w:w="1035"/>
        <w:gridCol w:w="929"/>
      </w:tblGrid>
      <w:tr w:rsidR="00603F28">
        <w:trPr>
          <w:trHeight w:val="300"/>
          <w:tblHeader/>
        </w:trPr>
        <w:tc>
          <w:tcPr>
            <w:tcW w:w="1468" w:type="pct"/>
            <w:vMerge w:val="restar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就业去向</w:t>
            </w:r>
          </w:p>
        </w:tc>
        <w:tc>
          <w:tcPr>
            <w:tcW w:w="1174"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男</w:t>
            </w:r>
          </w:p>
        </w:tc>
        <w:tc>
          <w:tcPr>
            <w:tcW w:w="1173"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女</w:t>
            </w:r>
          </w:p>
        </w:tc>
        <w:tc>
          <w:tcPr>
            <w:tcW w:w="1185" w:type="pct"/>
            <w:gridSpan w:val="2"/>
            <w:tcBorders>
              <w:top w:val="single" w:sz="4" w:space="0" w:color="auto"/>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r>
      <w:tr w:rsidR="00603F28">
        <w:trPr>
          <w:trHeight w:val="300"/>
          <w:tblHeader/>
        </w:trPr>
        <w:tc>
          <w:tcPr>
            <w:tcW w:w="1468"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b/>
                <w:bCs/>
                <w:color w:val="FFFFFF"/>
                <w:kern w:val="0"/>
                <w:sz w:val="18"/>
                <w:szCs w:val="18"/>
              </w:rPr>
            </w:pPr>
          </w:p>
        </w:tc>
        <w:tc>
          <w:tcPr>
            <w:tcW w:w="580"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594"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c>
          <w:tcPr>
            <w:tcW w:w="603"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571" w:type="pct"/>
            <w:tcBorders>
              <w:top w:val="nil"/>
              <w:left w:val="nil"/>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c>
          <w:tcPr>
            <w:tcW w:w="62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56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签就业协议形式就业</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973</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46.82%</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123</w:t>
            </w:r>
            <w:r>
              <w:rPr>
                <w:rFonts w:ascii="黑体" w:eastAsia="黑体" w:hAnsi="黑体" w:cs="宋体"/>
                <w:kern w:val="0"/>
                <w:sz w:val="18"/>
                <w:szCs w:val="18"/>
              </w:rPr>
              <w:t>1</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40.25%</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220</w:t>
            </w:r>
            <w:r>
              <w:rPr>
                <w:rFonts w:ascii="黑体" w:eastAsia="黑体" w:hAnsi="黑体" w:cs="宋体"/>
                <w:kern w:val="0"/>
                <w:sz w:val="18"/>
                <w:szCs w:val="18"/>
              </w:rPr>
              <w:t>4</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42.91%</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升学</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300</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14.44%</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596</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19.50%</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896</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17.45%</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出国、出境</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245</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11.79%</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w:t>
            </w:r>
            <w:r>
              <w:rPr>
                <w:rFonts w:ascii="黑体" w:eastAsia="黑体" w:hAnsi="黑体" w:cs="宋体"/>
                <w:kern w:val="0"/>
                <w:sz w:val="18"/>
                <w:szCs w:val="18"/>
              </w:rPr>
              <w:t>7</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13.02%</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w:t>
            </w:r>
            <w:r>
              <w:rPr>
                <w:rFonts w:ascii="黑体" w:eastAsia="黑体" w:hAnsi="黑体" w:cs="宋体"/>
                <w:kern w:val="0"/>
                <w:sz w:val="18"/>
                <w:szCs w:val="18"/>
              </w:rPr>
              <w:t>2</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12.5</w:t>
            </w:r>
            <w:r>
              <w:rPr>
                <w:rFonts w:ascii="黑体" w:eastAsia="黑体" w:hAnsi="黑体" w:cs="宋体"/>
                <w:kern w:val="0"/>
                <w:sz w:val="18"/>
                <w:szCs w:val="18"/>
              </w:rPr>
              <w:t>0</w:t>
            </w:r>
            <w:r>
              <w:rPr>
                <w:rFonts w:ascii="黑体" w:eastAsia="黑体" w:hAnsi="黑体" w:cs="宋体" w:hint="eastAsia"/>
                <w:kern w:val="0"/>
                <w:sz w:val="18"/>
                <w:szCs w:val="18"/>
              </w:rPr>
              <w:t>%</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签劳动合同形式就业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131</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6.30%</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182</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5.96%</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313</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6.10%</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其他录用形式就业</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1.35%</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90</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2.95%</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118</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2.30%</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自由职业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1.30%</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0.69%</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0.93%</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国家基层项目</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0.24%</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0.62%</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0.47%</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从事企业创业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0.48%</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0.20%</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0.31%</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科研助理</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0.05%</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0.16%</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0.12%</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从事非企业创业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0.10%</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0.07%</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0.08%</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地方基层项目</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0.05%</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0.10%</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0.08%</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在创业载体创业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0.10%</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0.03%</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0.06%</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应征义务兵</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0.10%</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kern w:val="0"/>
                <w:sz w:val="18"/>
                <w:szCs w:val="18"/>
              </w:rPr>
              <w:t>/</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0.04%</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从事网络创业</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0.05%</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kern w:val="0"/>
                <w:sz w:val="18"/>
                <w:szCs w:val="18"/>
              </w:rPr>
              <w:t>/</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0.02%</w:t>
            </w:r>
          </w:p>
        </w:tc>
      </w:tr>
      <w:tr w:rsidR="00603F28">
        <w:trPr>
          <w:trHeight w:val="300"/>
        </w:trPr>
        <w:tc>
          <w:tcPr>
            <w:tcW w:w="146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求职中</w:t>
            </w:r>
          </w:p>
        </w:tc>
        <w:tc>
          <w:tcPr>
            <w:tcW w:w="58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346</w:t>
            </w:r>
          </w:p>
        </w:tc>
        <w:tc>
          <w:tcPr>
            <w:tcW w:w="5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16.65%</w:t>
            </w:r>
          </w:p>
        </w:tc>
        <w:tc>
          <w:tcPr>
            <w:tcW w:w="60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489</w:t>
            </w:r>
          </w:p>
        </w:tc>
        <w:tc>
          <w:tcPr>
            <w:tcW w:w="57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16.00%</w:t>
            </w:r>
          </w:p>
        </w:tc>
        <w:tc>
          <w:tcPr>
            <w:tcW w:w="62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835</w:t>
            </w:r>
          </w:p>
        </w:tc>
        <w:tc>
          <w:tcPr>
            <w:tcW w:w="56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16.26%</w:t>
            </w:r>
          </w:p>
        </w:tc>
      </w:tr>
      <w:tr w:rsidR="00603F28">
        <w:trPr>
          <w:trHeight w:val="300"/>
        </w:trPr>
        <w:tc>
          <w:tcPr>
            <w:tcW w:w="146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拟升学</w:t>
            </w:r>
          </w:p>
        </w:tc>
        <w:tc>
          <w:tcPr>
            <w:tcW w:w="58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5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0.19%</w:t>
            </w:r>
          </w:p>
        </w:tc>
        <w:tc>
          <w:tcPr>
            <w:tcW w:w="60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57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0.46%</w:t>
            </w:r>
          </w:p>
        </w:tc>
        <w:tc>
          <w:tcPr>
            <w:tcW w:w="62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56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0.35%</w:t>
            </w:r>
          </w:p>
        </w:tc>
      </w:tr>
      <w:tr w:rsidR="00603F28">
        <w:trPr>
          <w:trHeight w:val="300"/>
        </w:trPr>
        <w:tc>
          <w:tcPr>
            <w:tcW w:w="1468"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580"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2078</w:t>
            </w:r>
          </w:p>
        </w:tc>
        <w:tc>
          <w:tcPr>
            <w:tcW w:w="5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c>
          <w:tcPr>
            <w:tcW w:w="603"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3056</w:t>
            </w:r>
          </w:p>
        </w:tc>
        <w:tc>
          <w:tcPr>
            <w:tcW w:w="57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c>
          <w:tcPr>
            <w:tcW w:w="62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5134</w:t>
            </w:r>
          </w:p>
        </w:tc>
        <w:tc>
          <w:tcPr>
            <w:tcW w:w="561"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r>
    </w:tbl>
    <w:p w:rsidR="00603F28" w:rsidRDefault="00041260">
      <w:pPr>
        <w:pStyle w:val="2"/>
      </w:pPr>
      <w:bookmarkStart w:id="25" w:name="_Toc27642595"/>
      <w:r>
        <w:lastRenderedPageBreak/>
        <w:t>三、毕业生就业</w:t>
      </w:r>
      <w:bookmarkEnd w:id="21"/>
      <w:bookmarkEnd w:id="22"/>
      <w:r>
        <w:rPr>
          <w:rFonts w:hint="eastAsia"/>
        </w:rPr>
        <w:t>流向</w:t>
      </w:r>
      <w:bookmarkEnd w:id="25"/>
    </w:p>
    <w:p w:rsidR="00603F28" w:rsidRDefault="00041260">
      <w:pPr>
        <w:ind w:firstLineChars="200" w:firstLine="420"/>
      </w:pPr>
      <w:r>
        <w:rPr>
          <w:rFonts w:hint="eastAsia"/>
        </w:rPr>
        <w:t>2</w:t>
      </w:r>
      <w:r>
        <w:t>019</w:t>
      </w:r>
      <w:r>
        <w:rPr>
          <w:rFonts w:hint="eastAsia"/>
        </w:rPr>
        <w:t>届本科毕业生共</w:t>
      </w:r>
      <w:r>
        <w:t>2634</w:t>
      </w:r>
      <w:r>
        <w:rPr>
          <w:rFonts w:hint="eastAsia"/>
        </w:rPr>
        <w:t>人通过各种录用形式落实就业单位</w:t>
      </w:r>
      <w:r>
        <w:rPr>
          <w:rFonts w:hint="eastAsia"/>
          <w:sz w:val="18"/>
          <w:szCs w:val="18"/>
          <w:vertAlign w:val="superscript"/>
        </w:rPr>
        <w:t>[</w:t>
      </w:r>
      <w:r>
        <w:rPr>
          <w:rStyle w:val="afc"/>
          <w:sz w:val="18"/>
          <w:szCs w:val="18"/>
        </w:rPr>
        <w:footnoteReference w:id="3"/>
      </w:r>
      <w:r>
        <w:rPr>
          <w:sz w:val="18"/>
          <w:szCs w:val="18"/>
          <w:vertAlign w:val="superscript"/>
        </w:rPr>
        <w:t>]</w:t>
      </w:r>
      <w:r>
        <w:rPr>
          <w:rFonts w:hint="eastAsia"/>
        </w:rPr>
        <w:t>。</w:t>
      </w:r>
    </w:p>
    <w:p w:rsidR="00603F28" w:rsidRDefault="00041260">
      <w:pPr>
        <w:pStyle w:val="3"/>
        <w:spacing w:before="120"/>
      </w:pPr>
      <w:bookmarkStart w:id="26" w:name="_Toc27642596"/>
      <w:bookmarkStart w:id="27" w:name="_Toc29401_WPSOffice_Level3"/>
      <w:bookmarkStart w:id="28" w:name="_Toc534724570"/>
      <w:r>
        <w:t>（</w:t>
      </w:r>
      <w:r>
        <w:rPr>
          <w:rFonts w:hint="eastAsia"/>
        </w:rPr>
        <w:t>一</w:t>
      </w:r>
      <w:r>
        <w:t>）</w:t>
      </w:r>
      <w:r>
        <w:rPr>
          <w:rFonts w:hint="eastAsia"/>
        </w:rPr>
        <w:t>毕业生</w:t>
      </w:r>
      <w:r>
        <w:t>就业行业</w:t>
      </w:r>
      <w:bookmarkEnd w:id="26"/>
      <w:bookmarkEnd w:id="27"/>
      <w:bookmarkEnd w:id="28"/>
    </w:p>
    <w:p w:rsidR="00603F28" w:rsidRDefault="00041260">
      <w:pPr>
        <w:ind w:firstLine="420"/>
      </w:pPr>
      <w:r>
        <w:rPr>
          <w:rFonts w:hint="eastAsia"/>
        </w:rPr>
        <w:t>2</w:t>
      </w:r>
      <w:r>
        <w:t>019</w:t>
      </w:r>
      <w:r>
        <w:rPr>
          <w:rFonts w:hint="eastAsia"/>
        </w:rPr>
        <w:t>届本科毕业生就业行业主要是金融业（</w:t>
      </w:r>
      <w:r>
        <w:t>645</w:t>
      </w:r>
      <w:r>
        <w:rPr>
          <w:rFonts w:hint="eastAsia"/>
        </w:rPr>
        <w:t>人，占比</w:t>
      </w:r>
      <w:r>
        <w:t>24.49</w:t>
      </w:r>
      <w:r>
        <w:rPr>
          <w:rFonts w:hint="eastAsia"/>
        </w:rPr>
        <w:t>%</w:t>
      </w:r>
      <w:r>
        <w:rPr>
          <w:rFonts w:hint="eastAsia"/>
        </w:rPr>
        <w:t>）、制造业（</w:t>
      </w:r>
      <w:r>
        <w:t>361</w:t>
      </w:r>
      <w:r>
        <w:rPr>
          <w:rFonts w:hint="eastAsia"/>
        </w:rPr>
        <w:t>人，占比</w:t>
      </w:r>
      <w:r>
        <w:t>13.71</w:t>
      </w:r>
      <w:r>
        <w:rPr>
          <w:rFonts w:hint="eastAsia"/>
        </w:rPr>
        <w:t>%</w:t>
      </w:r>
      <w:r>
        <w:rPr>
          <w:rFonts w:hint="eastAsia"/>
        </w:rPr>
        <w:t>）和信息传输、软件和信息技术服务业（</w:t>
      </w:r>
      <w:r>
        <w:rPr>
          <w:rFonts w:hint="eastAsia"/>
        </w:rPr>
        <w:t>313</w:t>
      </w:r>
      <w:r>
        <w:rPr>
          <w:rFonts w:hint="eastAsia"/>
        </w:rPr>
        <w:t>人，占比</w:t>
      </w:r>
      <w:r>
        <w:rPr>
          <w:rFonts w:hint="eastAsia"/>
        </w:rPr>
        <w:t>11.88%</w:t>
      </w:r>
      <w:r>
        <w:rPr>
          <w:rFonts w:hint="eastAsia"/>
        </w:rPr>
        <w:t>），毕业生以金融业和制造业行业为主的就业趋势显著。</w:t>
      </w:r>
    </w:p>
    <w:p w:rsidR="00603F28" w:rsidRDefault="00041260">
      <w:pPr>
        <w:keepNext/>
        <w:jc w:val="center"/>
      </w:pPr>
      <w:r>
        <w:rPr>
          <w:noProof/>
        </w:rPr>
        <w:drawing>
          <wp:inline distT="0" distB="0" distL="0" distR="0">
            <wp:extent cx="5248910" cy="3529965"/>
            <wp:effectExtent l="0" t="0" r="8890" b="317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48910" cy="3529965"/>
                    </a:xfrm>
                    <a:prstGeom prst="rect">
                      <a:avLst/>
                    </a:prstGeom>
                    <a:noFill/>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4</w:t>
      </w:r>
      <w:r>
        <w:fldChar w:fldCharType="end"/>
      </w:r>
      <w:r>
        <w:t xml:space="preserve">  2019</w:t>
      </w:r>
      <w:r>
        <w:rPr>
          <w:rFonts w:hint="eastAsia"/>
        </w:rPr>
        <w:t>届本科毕业生就业行业</w:t>
      </w:r>
    </w:p>
    <w:p w:rsidR="00603F28" w:rsidRDefault="00041260">
      <w:pPr>
        <w:ind w:firstLine="420"/>
      </w:pPr>
      <w:r>
        <w:rPr>
          <w:rFonts w:hint="eastAsia"/>
        </w:rPr>
        <w:t>金融业行业就业毕业生的专业主要为金融学（</w:t>
      </w:r>
      <w:r>
        <w:rPr>
          <w:rFonts w:hint="eastAsia"/>
        </w:rPr>
        <w:t>15.50%</w:t>
      </w:r>
      <w:r>
        <w:rPr>
          <w:rFonts w:hint="eastAsia"/>
        </w:rPr>
        <w:t>）、投资学（</w:t>
      </w:r>
      <w:r>
        <w:rPr>
          <w:rFonts w:hint="eastAsia"/>
        </w:rPr>
        <w:t>6.20%</w:t>
      </w:r>
      <w:r>
        <w:rPr>
          <w:rFonts w:hint="eastAsia"/>
        </w:rPr>
        <w:t>）和金融学（国际金融）（</w:t>
      </w:r>
      <w:r>
        <w:rPr>
          <w:rFonts w:hint="eastAsia"/>
        </w:rPr>
        <w:t>6.05%</w:t>
      </w:r>
      <w:r>
        <w:rPr>
          <w:rFonts w:hint="eastAsia"/>
        </w:rPr>
        <w:t>）；制造业行业就业毕业生的专业主要为会计学类专业；信息传输、软件和信息技术服务业行业就业毕业生的专业主要为软件工程（</w:t>
      </w:r>
      <w:r>
        <w:rPr>
          <w:rFonts w:hint="eastAsia"/>
        </w:rPr>
        <w:t>30.35%</w:t>
      </w:r>
      <w:r>
        <w:rPr>
          <w:rFonts w:hint="eastAsia"/>
        </w:rPr>
        <w:t>）、计算机科学与技术（</w:t>
      </w:r>
      <w:r>
        <w:rPr>
          <w:rFonts w:hint="eastAsia"/>
        </w:rPr>
        <w:t>5.43%</w:t>
      </w:r>
      <w:r>
        <w:rPr>
          <w:rFonts w:hint="eastAsia"/>
        </w:rPr>
        <w:t>）和经济统计学（</w:t>
      </w:r>
      <w:r>
        <w:rPr>
          <w:rFonts w:hint="eastAsia"/>
        </w:rPr>
        <w:t>4.47%</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SE</w:instrText>
      </w:r>
      <w:r>
        <w:rPr>
          <w:rFonts w:hint="eastAsia"/>
        </w:rPr>
        <w:instrText xml:space="preserve">Q </w:instrText>
      </w:r>
      <w:r>
        <w:rPr>
          <w:rFonts w:hint="eastAsia"/>
        </w:rPr>
        <w:instrText>表</w:instrText>
      </w:r>
      <w:r>
        <w:rPr>
          <w:rFonts w:hint="eastAsia"/>
        </w:rPr>
        <w:instrText>1- \* ARABIC</w:instrText>
      </w:r>
      <w:r>
        <w:fldChar w:fldCharType="separate"/>
      </w:r>
      <w:r>
        <w:t>8</w:t>
      </w:r>
      <w:r>
        <w:fldChar w:fldCharType="end"/>
      </w:r>
      <w:r>
        <w:t xml:space="preserve">  2019</w:t>
      </w:r>
      <w:r>
        <w:rPr>
          <w:rFonts w:hint="eastAsia"/>
        </w:rPr>
        <w:t>届本科毕业生就业行业主要专业支撑（前</w:t>
      </w:r>
      <w:r>
        <w:rPr>
          <w:rFonts w:hint="eastAsia"/>
        </w:rPr>
        <w:t>3</w:t>
      </w:r>
      <w:r>
        <w:rPr>
          <w:rFonts w:hint="eastAsia"/>
        </w:rPr>
        <w:t>）</w:t>
      </w:r>
    </w:p>
    <w:tbl>
      <w:tblPr>
        <w:tblW w:w="5000" w:type="pct"/>
        <w:tblLook w:val="04A0" w:firstRow="1" w:lastRow="0" w:firstColumn="1" w:lastColumn="0" w:noHBand="0" w:noVBand="1"/>
      </w:tblPr>
      <w:tblGrid>
        <w:gridCol w:w="2771"/>
        <w:gridCol w:w="5525"/>
      </w:tblGrid>
      <w:tr w:rsidR="00603F28">
        <w:trPr>
          <w:trHeight w:val="315"/>
          <w:tblHeader/>
        </w:trPr>
        <w:tc>
          <w:tcPr>
            <w:tcW w:w="1670"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主要行业</w:t>
            </w:r>
          </w:p>
        </w:tc>
        <w:tc>
          <w:tcPr>
            <w:tcW w:w="3330"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行业主要专业支撑（前</w:t>
            </w:r>
            <w:r>
              <w:rPr>
                <w:rFonts w:ascii="黑体" w:eastAsia="黑体" w:hAnsi="黑体" w:cs="宋体" w:hint="eastAsia"/>
                <w:b/>
                <w:bCs/>
                <w:color w:val="FFFFFF"/>
                <w:kern w:val="0"/>
                <w:sz w:val="18"/>
                <w:szCs w:val="18"/>
              </w:rPr>
              <w:t>3</w:t>
            </w:r>
            <w:r>
              <w:rPr>
                <w:rFonts w:ascii="黑体" w:eastAsia="黑体" w:hAnsi="黑体" w:cs="宋体" w:hint="eastAsia"/>
                <w:b/>
                <w:bCs/>
                <w:color w:val="FFFFFF"/>
                <w:kern w:val="0"/>
                <w:sz w:val="18"/>
                <w:szCs w:val="18"/>
              </w:rPr>
              <w:t>）</w:t>
            </w:r>
          </w:p>
        </w:tc>
      </w:tr>
      <w:tr w:rsidR="00603F28">
        <w:trPr>
          <w:trHeight w:val="315"/>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w:t>
            </w:r>
            <w:r>
              <w:rPr>
                <w:rFonts w:ascii="黑体" w:eastAsia="黑体" w:hAnsi="黑体" w:cs="宋体" w:hint="eastAsia"/>
                <w:kern w:val="0"/>
                <w:sz w:val="18"/>
                <w:szCs w:val="18"/>
              </w:rPr>
              <w:t>(15.50%),</w:t>
            </w:r>
            <w:r>
              <w:rPr>
                <w:rFonts w:ascii="黑体" w:eastAsia="黑体" w:hAnsi="黑体" w:cs="宋体" w:hint="eastAsia"/>
                <w:kern w:val="0"/>
                <w:sz w:val="18"/>
                <w:szCs w:val="18"/>
              </w:rPr>
              <w:t>投资学</w:t>
            </w:r>
            <w:r>
              <w:rPr>
                <w:rFonts w:ascii="黑体" w:eastAsia="黑体" w:hAnsi="黑体" w:cs="宋体" w:hint="eastAsia"/>
                <w:kern w:val="0"/>
                <w:sz w:val="18"/>
                <w:szCs w:val="18"/>
              </w:rPr>
              <w:t>(6.20%),</w:t>
            </w:r>
            <w:r>
              <w:rPr>
                <w:rFonts w:ascii="黑体" w:eastAsia="黑体" w:hAnsi="黑体" w:cs="宋体" w:hint="eastAsia"/>
                <w:kern w:val="0"/>
                <w:sz w:val="18"/>
                <w:szCs w:val="18"/>
              </w:rPr>
              <w:t>金融学</w:t>
            </w:r>
            <w:r>
              <w:rPr>
                <w:rFonts w:ascii="黑体" w:eastAsia="黑体" w:hAnsi="黑体" w:cs="宋体" w:hint="eastAsia"/>
                <w:kern w:val="0"/>
                <w:sz w:val="18"/>
                <w:szCs w:val="18"/>
              </w:rPr>
              <w:t>(</w:t>
            </w:r>
            <w:r>
              <w:rPr>
                <w:rFonts w:ascii="黑体" w:eastAsia="黑体" w:hAnsi="黑体" w:cs="宋体" w:hint="eastAsia"/>
                <w:kern w:val="0"/>
                <w:sz w:val="18"/>
                <w:szCs w:val="18"/>
              </w:rPr>
              <w:t>国际金融</w:t>
            </w:r>
            <w:r>
              <w:rPr>
                <w:rFonts w:ascii="黑体" w:eastAsia="黑体" w:hAnsi="黑体" w:cs="宋体" w:hint="eastAsia"/>
                <w:kern w:val="0"/>
                <w:sz w:val="18"/>
                <w:szCs w:val="18"/>
              </w:rPr>
              <w:t>)(6.05%)</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制造业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w:t>
            </w:r>
            <w:r>
              <w:rPr>
                <w:rFonts w:ascii="黑体" w:eastAsia="黑体" w:hAnsi="黑体" w:cs="宋体" w:hint="eastAsia"/>
                <w:kern w:val="0"/>
                <w:sz w:val="18"/>
                <w:szCs w:val="18"/>
              </w:rPr>
              <w:t>(8.31%),</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国际会计</w:t>
            </w:r>
            <w:r>
              <w:rPr>
                <w:rFonts w:ascii="黑体" w:eastAsia="黑体" w:hAnsi="黑体" w:cs="宋体" w:hint="eastAsia"/>
                <w:kern w:val="0"/>
                <w:sz w:val="18"/>
                <w:szCs w:val="18"/>
              </w:rPr>
              <w:t>)(8.03%),</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注册会计</w:t>
            </w:r>
            <w:r>
              <w:rPr>
                <w:rFonts w:ascii="黑体" w:eastAsia="黑体" w:hAnsi="黑体" w:cs="宋体" w:hint="eastAsia"/>
                <w:kern w:val="0"/>
                <w:sz w:val="18"/>
                <w:szCs w:val="18"/>
              </w:rPr>
              <w:lastRenderedPageBreak/>
              <w:t>师</w:t>
            </w:r>
            <w:r>
              <w:rPr>
                <w:rFonts w:ascii="黑体" w:eastAsia="黑体" w:hAnsi="黑体" w:cs="宋体" w:hint="eastAsia"/>
                <w:kern w:val="0"/>
                <w:sz w:val="18"/>
                <w:szCs w:val="18"/>
              </w:rPr>
              <w:t>)(7.20%)</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信息传输、软件和信息技术服务业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软件工程</w:t>
            </w:r>
            <w:r>
              <w:rPr>
                <w:rFonts w:ascii="黑体" w:eastAsia="黑体" w:hAnsi="黑体" w:cs="宋体" w:hint="eastAsia"/>
                <w:kern w:val="0"/>
                <w:sz w:val="18"/>
                <w:szCs w:val="18"/>
              </w:rPr>
              <w:t>(30.35%),</w:t>
            </w:r>
            <w:r>
              <w:rPr>
                <w:rFonts w:ascii="黑体" w:eastAsia="黑体" w:hAnsi="黑体" w:cs="宋体" w:hint="eastAsia"/>
                <w:kern w:val="0"/>
                <w:sz w:val="18"/>
                <w:szCs w:val="18"/>
              </w:rPr>
              <w:t>计算机科学与技术</w:t>
            </w:r>
            <w:r>
              <w:rPr>
                <w:rFonts w:ascii="黑体" w:eastAsia="黑体" w:hAnsi="黑体" w:cs="宋体" w:hint="eastAsia"/>
                <w:kern w:val="0"/>
                <w:sz w:val="18"/>
                <w:szCs w:val="18"/>
              </w:rPr>
              <w:t>(5.43%),</w:t>
            </w:r>
            <w:r>
              <w:rPr>
                <w:rFonts w:ascii="黑体" w:eastAsia="黑体" w:hAnsi="黑体" w:cs="宋体" w:hint="eastAsia"/>
                <w:kern w:val="0"/>
                <w:sz w:val="18"/>
                <w:szCs w:val="18"/>
              </w:rPr>
              <w:t>经济统计学</w:t>
            </w:r>
            <w:r>
              <w:rPr>
                <w:rFonts w:ascii="黑体" w:eastAsia="黑体" w:hAnsi="黑体" w:cs="宋体" w:hint="eastAsia"/>
                <w:kern w:val="0"/>
                <w:sz w:val="18"/>
                <w:szCs w:val="18"/>
              </w:rPr>
              <w:t>(4.47%)</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居民服务、修理和其他服务业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国际会计</w:t>
            </w:r>
            <w:r>
              <w:rPr>
                <w:rFonts w:ascii="黑体" w:eastAsia="黑体" w:hAnsi="黑体" w:cs="宋体" w:hint="eastAsia"/>
                <w:kern w:val="0"/>
                <w:sz w:val="18"/>
                <w:szCs w:val="18"/>
              </w:rPr>
              <w:t>)(7.72%),</w:t>
            </w:r>
            <w:r>
              <w:rPr>
                <w:rFonts w:ascii="黑体" w:eastAsia="黑体" w:hAnsi="黑体" w:cs="宋体" w:hint="eastAsia"/>
                <w:kern w:val="0"/>
                <w:sz w:val="18"/>
                <w:szCs w:val="18"/>
              </w:rPr>
              <w:t>软件工程</w:t>
            </w:r>
            <w:r>
              <w:rPr>
                <w:rFonts w:ascii="黑体" w:eastAsia="黑体" w:hAnsi="黑体" w:cs="宋体" w:hint="eastAsia"/>
                <w:kern w:val="0"/>
                <w:sz w:val="18"/>
                <w:szCs w:val="18"/>
              </w:rPr>
              <w:t>(7.38%),</w:t>
            </w:r>
            <w:r>
              <w:rPr>
                <w:rFonts w:ascii="黑体" w:eastAsia="黑体" w:hAnsi="黑体" w:cs="宋体" w:hint="eastAsia"/>
                <w:kern w:val="0"/>
                <w:sz w:val="18"/>
                <w:szCs w:val="18"/>
              </w:rPr>
              <w:t>经济统计学</w:t>
            </w:r>
            <w:r>
              <w:rPr>
                <w:rFonts w:ascii="黑体" w:eastAsia="黑体" w:hAnsi="黑体" w:cs="宋体" w:hint="eastAsia"/>
                <w:kern w:val="0"/>
                <w:sz w:val="18"/>
                <w:szCs w:val="18"/>
              </w:rPr>
              <w:t>(5.37%)</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建筑业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财务管理</w:t>
            </w:r>
            <w:r>
              <w:rPr>
                <w:rFonts w:ascii="黑体" w:eastAsia="黑体" w:hAnsi="黑体" w:cs="宋体" w:hint="eastAsia"/>
                <w:kern w:val="0"/>
                <w:sz w:val="18"/>
                <w:szCs w:val="18"/>
              </w:rPr>
              <w:t>(11.34%),</w:t>
            </w:r>
            <w:r>
              <w:rPr>
                <w:rFonts w:ascii="黑体" w:eastAsia="黑体" w:hAnsi="黑体" w:cs="宋体" w:hint="eastAsia"/>
                <w:kern w:val="0"/>
                <w:sz w:val="18"/>
                <w:szCs w:val="18"/>
              </w:rPr>
              <w:t>会计学</w:t>
            </w:r>
            <w:r>
              <w:rPr>
                <w:rFonts w:ascii="黑体" w:eastAsia="黑体" w:hAnsi="黑体" w:cs="宋体" w:hint="eastAsia"/>
                <w:kern w:val="0"/>
                <w:sz w:val="18"/>
                <w:szCs w:val="18"/>
              </w:rPr>
              <w:t>(9.31%),</w:t>
            </w:r>
            <w:r>
              <w:rPr>
                <w:rFonts w:ascii="黑体" w:eastAsia="黑体" w:hAnsi="黑体" w:cs="宋体" w:hint="eastAsia"/>
                <w:kern w:val="0"/>
                <w:sz w:val="18"/>
                <w:szCs w:val="18"/>
              </w:rPr>
              <w:t>经济学</w:t>
            </w:r>
            <w:r>
              <w:rPr>
                <w:rFonts w:ascii="黑体" w:eastAsia="黑体" w:hAnsi="黑体" w:cs="宋体" w:hint="eastAsia"/>
                <w:kern w:val="0"/>
                <w:sz w:val="18"/>
                <w:szCs w:val="18"/>
              </w:rPr>
              <w:t>(8.91%)</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批发和零售业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软件工程</w:t>
            </w:r>
            <w:r>
              <w:rPr>
                <w:rFonts w:ascii="黑体" w:eastAsia="黑体" w:hAnsi="黑体" w:cs="宋体" w:hint="eastAsia"/>
                <w:kern w:val="0"/>
                <w:sz w:val="18"/>
                <w:szCs w:val="18"/>
              </w:rPr>
              <w:t>(7.92%),</w:t>
            </w:r>
            <w:r>
              <w:rPr>
                <w:rFonts w:ascii="黑体" w:eastAsia="黑体" w:hAnsi="黑体" w:cs="宋体" w:hint="eastAsia"/>
                <w:kern w:val="0"/>
                <w:sz w:val="18"/>
                <w:szCs w:val="18"/>
              </w:rPr>
              <w:t>经济统计学</w:t>
            </w:r>
            <w:r>
              <w:rPr>
                <w:rFonts w:ascii="黑体" w:eastAsia="黑体" w:hAnsi="黑体" w:cs="宋体" w:hint="eastAsia"/>
                <w:kern w:val="0"/>
                <w:sz w:val="18"/>
                <w:szCs w:val="18"/>
              </w:rPr>
              <w:t>(7.08%),</w:t>
            </w:r>
            <w:r>
              <w:rPr>
                <w:rFonts w:ascii="黑体" w:eastAsia="黑体" w:hAnsi="黑体" w:cs="宋体" w:hint="eastAsia"/>
                <w:kern w:val="0"/>
                <w:sz w:val="18"/>
                <w:szCs w:val="18"/>
              </w:rPr>
              <w:t>视觉传达设计</w:t>
            </w:r>
            <w:r>
              <w:rPr>
                <w:rFonts w:ascii="黑体" w:eastAsia="黑体" w:hAnsi="黑体" w:cs="宋体" w:hint="eastAsia"/>
                <w:kern w:val="0"/>
                <w:sz w:val="18"/>
                <w:szCs w:val="18"/>
              </w:rPr>
              <w:t>(7.08%)</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科学研究和技术服务业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软件工程</w:t>
            </w:r>
            <w:r>
              <w:rPr>
                <w:rFonts w:ascii="黑体" w:eastAsia="黑体" w:hAnsi="黑体" w:cs="宋体" w:hint="eastAsia"/>
                <w:kern w:val="0"/>
                <w:sz w:val="18"/>
                <w:szCs w:val="18"/>
              </w:rPr>
              <w:t>(31.07%),</w:t>
            </w:r>
            <w:r>
              <w:rPr>
                <w:rFonts w:ascii="黑体" w:eastAsia="黑体" w:hAnsi="黑体" w:cs="宋体" w:hint="eastAsia"/>
                <w:kern w:val="0"/>
                <w:sz w:val="18"/>
                <w:szCs w:val="18"/>
              </w:rPr>
              <w:t>财政学</w:t>
            </w:r>
            <w:r>
              <w:rPr>
                <w:rFonts w:ascii="黑体" w:eastAsia="黑体" w:hAnsi="黑体" w:cs="宋体" w:hint="eastAsia"/>
                <w:kern w:val="0"/>
                <w:sz w:val="18"/>
                <w:szCs w:val="18"/>
              </w:rPr>
              <w:t>(5.83%),</w:t>
            </w:r>
            <w:r>
              <w:rPr>
                <w:rFonts w:ascii="黑体" w:eastAsia="黑体" w:hAnsi="黑体" w:cs="宋体" w:hint="eastAsia"/>
                <w:kern w:val="0"/>
                <w:sz w:val="18"/>
                <w:szCs w:val="18"/>
              </w:rPr>
              <w:t>产品设计</w:t>
            </w:r>
            <w:r>
              <w:rPr>
                <w:rFonts w:ascii="黑体" w:eastAsia="黑体" w:hAnsi="黑体" w:cs="宋体" w:hint="eastAsia"/>
                <w:kern w:val="0"/>
                <w:sz w:val="18"/>
                <w:szCs w:val="18"/>
              </w:rPr>
              <w:t>(4.85%)</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房地产业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房地产开发与管理</w:t>
            </w:r>
            <w:r>
              <w:rPr>
                <w:rFonts w:ascii="黑体" w:eastAsia="黑体" w:hAnsi="黑体" w:cs="宋体" w:hint="eastAsia"/>
                <w:kern w:val="0"/>
                <w:sz w:val="18"/>
                <w:szCs w:val="18"/>
              </w:rPr>
              <w:t>(8.54%),</w:t>
            </w:r>
            <w:r>
              <w:rPr>
                <w:rFonts w:ascii="黑体" w:eastAsia="黑体" w:hAnsi="黑体" w:cs="宋体" w:hint="eastAsia"/>
                <w:kern w:val="0"/>
                <w:sz w:val="18"/>
                <w:szCs w:val="18"/>
              </w:rPr>
              <w:t>市场营销</w:t>
            </w:r>
            <w:r>
              <w:rPr>
                <w:rFonts w:ascii="黑体" w:eastAsia="黑体" w:hAnsi="黑体" w:cs="宋体" w:hint="eastAsia"/>
                <w:kern w:val="0"/>
                <w:sz w:val="18"/>
                <w:szCs w:val="18"/>
              </w:rPr>
              <w:t>(8.54%),</w:t>
            </w:r>
            <w:r>
              <w:rPr>
                <w:rFonts w:ascii="黑体" w:eastAsia="黑体" w:hAnsi="黑体" w:cs="宋体" w:hint="eastAsia"/>
                <w:kern w:val="0"/>
                <w:sz w:val="18"/>
                <w:szCs w:val="18"/>
              </w:rPr>
              <w:t>财务管理</w:t>
            </w:r>
            <w:r>
              <w:rPr>
                <w:rFonts w:ascii="黑体" w:eastAsia="黑体" w:hAnsi="黑体" w:cs="宋体" w:hint="eastAsia"/>
                <w:kern w:val="0"/>
                <w:sz w:val="18"/>
                <w:szCs w:val="18"/>
              </w:rPr>
              <w:t>(6.10%)</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教育</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音乐学</w:t>
            </w:r>
            <w:r>
              <w:rPr>
                <w:rFonts w:ascii="黑体" w:eastAsia="黑体" w:hAnsi="黑体" w:cs="宋体" w:hint="eastAsia"/>
                <w:kern w:val="0"/>
                <w:sz w:val="18"/>
                <w:szCs w:val="18"/>
              </w:rPr>
              <w:t>(9.38%),</w:t>
            </w:r>
            <w:r>
              <w:rPr>
                <w:rFonts w:ascii="黑体" w:eastAsia="黑体" w:hAnsi="黑体" w:cs="宋体" w:hint="eastAsia"/>
                <w:kern w:val="0"/>
                <w:sz w:val="18"/>
                <w:szCs w:val="18"/>
              </w:rPr>
              <w:t>金融学</w:t>
            </w:r>
            <w:r>
              <w:rPr>
                <w:rFonts w:ascii="黑体" w:eastAsia="黑体" w:hAnsi="黑体" w:cs="宋体" w:hint="eastAsia"/>
                <w:kern w:val="0"/>
                <w:sz w:val="18"/>
                <w:szCs w:val="18"/>
              </w:rPr>
              <w:t>(</w:t>
            </w:r>
            <w:r>
              <w:rPr>
                <w:rFonts w:ascii="黑体" w:eastAsia="黑体" w:hAnsi="黑体" w:cs="宋体" w:hint="eastAsia"/>
                <w:kern w:val="0"/>
                <w:sz w:val="18"/>
                <w:szCs w:val="18"/>
              </w:rPr>
              <w:t>国际金融</w:t>
            </w:r>
            <w:r>
              <w:rPr>
                <w:rFonts w:ascii="黑体" w:eastAsia="黑体" w:hAnsi="黑体" w:cs="宋体" w:hint="eastAsia"/>
                <w:kern w:val="0"/>
                <w:sz w:val="18"/>
                <w:szCs w:val="18"/>
              </w:rPr>
              <w:t>)(9.38%),</w:t>
            </w:r>
            <w:r>
              <w:rPr>
                <w:rFonts w:ascii="黑体" w:eastAsia="黑体" w:hAnsi="黑体" w:cs="宋体" w:hint="eastAsia"/>
                <w:kern w:val="0"/>
                <w:sz w:val="18"/>
                <w:szCs w:val="18"/>
              </w:rPr>
              <w:t>经济学</w:t>
            </w:r>
            <w:r>
              <w:rPr>
                <w:rFonts w:ascii="黑体" w:eastAsia="黑体" w:hAnsi="黑体" w:cs="宋体" w:hint="eastAsia"/>
                <w:kern w:val="0"/>
                <w:sz w:val="18"/>
                <w:szCs w:val="18"/>
              </w:rPr>
              <w:t>(7.81%)</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租赁和商务服务业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w:t>
            </w:r>
            <w:r>
              <w:rPr>
                <w:rFonts w:ascii="黑体" w:eastAsia="黑体" w:hAnsi="黑体" w:cs="宋体" w:hint="eastAsia"/>
                <w:kern w:val="0"/>
                <w:sz w:val="18"/>
                <w:szCs w:val="18"/>
              </w:rPr>
              <w:t>(ACCA</w:t>
            </w:r>
            <w:r>
              <w:rPr>
                <w:rFonts w:ascii="黑体" w:eastAsia="黑体" w:hAnsi="黑体" w:cs="宋体" w:hint="eastAsia"/>
                <w:kern w:val="0"/>
                <w:sz w:val="18"/>
                <w:szCs w:val="18"/>
              </w:rPr>
              <w:t>方向</w:t>
            </w:r>
            <w:r>
              <w:rPr>
                <w:rFonts w:ascii="黑体" w:eastAsia="黑体" w:hAnsi="黑体" w:cs="宋体" w:hint="eastAsia"/>
                <w:kern w:val="0"/>
                <w:sz w:val="18"/>
                <w:szCs w:val="18"/>
              </w:rPr>
              <w:t>)(14.29%),</w:t>
            </w:r>
            <w:r>
              <w:rPr>
                <w:rFonts w:ascii="黑体" w:eastAsia="黑体" w:hAnsi="黑体" w:cs="宋体" w:hint="eastAsia"/>
                <w:kern w:val="0"/>
                <w:sz w:val="18"/>
                <w:szCs w:val="18"/>
              </w:rPr>
              <w:t>金融学</w:t>
            </w:r>
            <w:r>
              <w:rPr>
                <w:rFonts w:ascii="黑体" w:eastAsia="黑体" w:hAnsi="黑体" w:cs="宋体" w:hint="eastAsia"/>
                <w:kern w:val="0"/>
                <w:sz w:val="18"/>
                <w:szCs w:val="18"/>
              </w:rPr>
              <w:t>(10.71%),</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国际会计</w:t>
            </w:r>
            <w:r>
              <w:rPr>
                <w:rFonts w:ascii="黑体" w:eastAsia="黑体" w:hAnsi="黑体" w:cs="宋体" w:hint="eastAsia"/>
                <w:kern w:val="0"/>
                <w:sz w:val="18"/>
                <w:szCs w:val="18"/>
              </w:rPr>
              <w:t>)(10.71%)</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公共管理、社会保障和社会组织</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w:t>
            </w:r>
            <w:r>
              <w:rPr>
                <w:rFonts w:ascii="黑体" w:eastAsia="黑体" w:hAnsi="黑体" w:cs="宋体" w:hint="eastAsia"/>
                <w:kern w:val="0"/>
                <w:sz w:val="18"/>
                <w:szCs w:val="18"/>
              </w:rPr>
              <w:t>(9.09%),</w:t>
            </w:r>
            <w:r>
              <w:rPr>
                <w:rFonts w:ascii="黑体" w:eastAsia="黑体" w:hAnsi="黑体" w:cs="宋体" w:hint="eastAsia"/>
                <w:kern w:val="0"/>
                <w:sz w:val="18"/>
                <w:szCs w:val="18"/>
              </w:rPr>
              <w:t>财务管理</w:t>
            </w:r>
            <w:r>
              <w:rPr>
                <w:rFonts w:ascii="黑体" w:eastAsia="黑体" w:hAnsi="黑体" w:cs="宋体" w:hint="eastAsia"/>
                <w:kern w:val="0"/>
                <w:sz w:val="18"/>
                <w:szCs w:val="18"/>
              </w:rPr>
              <w:t>(7.27%),</w:t>
            </w:r>
            <w:r>
              <w:rPr>
                <w:rFonts w:ascii="黑体" w:eastAsia="黑体" w:hAnsi="黑体" w:cs="宋体" w:hint="eastAsia"/>
                <w:kern w:val="0"/>
                <w:sz w:val="18"/>
                <w:szCs w:val="18"/>
              </w:rPr>
              <w:t>税收学</w:t>
            </w:r>
            <w:r>
              <w:rPr>
                <w:rFonts w:ascii="黑体" w:eastAsia="黑体" w:hAnsi="黑体" w:cs="宋体" w:hint="eastAsia"/>
                <w:kern w:val="0"/>
                <w:sz w:val="18"/>
                <w:szCs w:val="18"/>
              </w:rPr>
              <w:t>(7.27%)</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交通运输、仓储和邮政业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物流管理</w:t>
            </w:r>
            <w:r>
              <w:rPr>
                <w:rFonts w:ascii="黑体" w:eastAsia="黑体" w:hAnsi="黑体" w:cs="宋体" w:hint="eastAsia"/>
                <w:kern w:val="0"/>
                <w:sz w:val="18"/>
                <w:szCs w:val="18"/>
              </w:rPr>
              <w:t>(19.51%),</w:t>
            </w:r>
            <w:r>
              <w:rPr>
                <w:rFonts w:ascii="黑体" w:eastAsia="黑体" w:hAnsi="黑体" w:cs="宋体" w:hint="eastAsia"/>
                <w:kern w:val="0"/>
                <w:sz w:val="18"/>
                <w:szCs w:val="18"/>
              </w:rPr>
              <w:t>市场营销</w:t>
            </w:r>
            <w:r>
              <w:rPr>
                <w:rFonts w:ascii="黑体" w:eastAsia="黑体" w:hAnsi="黑体" w:cs="宋体" w:hint="eastAsia"/>
                <w:kern w:val="0"/>
                <w:sz w:val="18"/>
                <w:szCs w:val="18"/>
              </w:rPr>
              <w:t>(9.76%),</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国际会计</w:t>
            </w:r>
            <w:r>
              <w:rPr>
                <w:rFonts w:ascii="黑体" w:eastAsia="黑体" w:hAnsi="黑体" w:cs="宋体" w:hint="eastAsia"/>
                <w:kern w:val="0"/>
                <w:sz w:val="18"/>
                <w:szCs w:val="18"/>
              </w:rPr>
              <w:t>)(7.32%)</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电力、热力、燃气及水生产和供应业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税收学</w:t>
            </w:r>
            <w:r>
              <w:rPr>
                <w:rFonts w:ascii="黑体" w:eastAsia="黑体" w:hAnsi="黑体" w:cs="宋体" w:hint="eastAsia"/>
                <w:kern w:val="0"/>
                <w:sz w:val="18"/>
                <w:szCs w:val="18"/>
              </w:rPr>
              <w:t>(17.14%),</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注册会计师</w:t>
            </w:r>
            <w:r>
              <w:rPr>
                <w:rFonts w:ascii="黑体" w:eastAsia="黑体" w:hAnsi="黑体" w:cs="宋体" w:hint="eastAsia"/>
                <w:kern w:val="0"/>
                <w:sz w:val="18"/>
                <w:szCs w:val="18"/>
              </w:rPr>
              <w:t>)(14.29%),</w:t>
            </w:r>
            <w:r>
              <w:rPr>
                <w:rFonts w:ascii="黑体" w:eastAsia="黑体" w:hAnsi="黑体" w:cs="宋体" w:hint="eastAsia"/>
                <w:kern w:val="0"/>
                <w:sz w:val="18"/>
                <w:szCs w:val="18"/>
              </w:rPr>
              <w:t>会计学</w:t>
            </w:r>
            <w:r>
              <w:rPr>
                <w:rFonts w:ascii="黑体" w:eastAsia="黑体" w:hAnsi="黑体" w:cs="宋体" w:hint="eastAsia"/>
                <w:kern w:val="0"/>
                <w:sz w:val="18"/>
                <w:szCs w:val="18"/>
              </w:rPr>
              <w:t>(ACCA</w:t>
            </w:r>
            <w:r>
              <w:rPr>
                <w:rFonts w:ascii="黑体" w:eastAsia="黑体" w:hAnsi="黑体" w:cs="宋体" w:hint="eastAsia"/>
                <w:kern w:val="0"/>
                <w:sz w:val="18"/>
                <w:szCs w:val="18"/>
              </w:rPr>
              <w:t>方向</w:t>
            </w:r>
            <w:r>
              <w:rPr>
                <w:rFonts w:ascii="黑体" w:eastAsia="黑体" w:hAnsi="黑体" w:cs="宋体" w:hint="eastAsia"/>
                <w:kern w:val="0"/>
                <w:sz w:val="18"/>
                <w:szCs w:val="18"/>
              </w:rPr>
              <w:t>)(11.43%)</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文化、体育和娱乐业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税收学</w:t>
            </w:r>
            <w:r>
              <w:rPr>
                <w:rFonts w:ascii="黑体" w:eastAsia="黑体" w:hAnsi="黑体" w:cs="宋体" w:hint="eastAsia"/>
                <w:kern w:val="0"/>
                <w:sz w:val="18"/>
                <w:szCs w:val="18"/>
              </w:rPr>
              <w:t>(16.67%),</w:t>
            </w:r>
            <w:r>
              <w:rPr>
                <w:rFonts w:ascii="黑体" w:eastAsia="黑体" w:hAnsi="黑体" w:cs="宋体" w:hint="eastAsia"/>
                <w:kern w:val="0"/>
                <w:sz w:val="18"/>
                <w:szCs w:val="18"/>
              </w:rPr>
              <w:t>视觉传达设计</w:t>
            </w:r>
            <w:r>
              <w:rPr>
                <w:rFonts w:ascii="黑体" w:eastAsia="黑体" w:hAnsi="黑体" w:cs="宋体" w:hint="eastAsia"/>
                <w:kern w:val="0"/>
                <w:sz w:val="18"/>
                <w:szCs w:val="18"/>
              </w:rPr>
              <w:t>(12.50%),</w:t>
            </w:r>
            <w:r>
              <w:rPr>
                <w:rFonts w:ascii="黑体" w:eastAsia="黑体" w:hAnsi="黑体" w:cs="宋体" w:hint="eastAsia"/>
                <w:kern w:val="0"/>
                <w:sz w:val="18"/>
                <w:szCs w:val="18"/>
              </w:rPr>
              <w:t>市场营销</w:t>
            </w:r>
            <w:r>
              <w:rPr>
                <w:rFonts w:ascii="黑体" w:eastAsia="黑体" w:hAnsi="黑体" w:cs="宋体" w:hint="eastAsia"/>
                <w:kern w:val="0"/>
                <w:sz w:val="18"/>
                <w:szCs w:val="18"/>
              </w:rPr>
              <w:t>(8.33%)</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农、林、牧、渔业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经济学</w:t>
            </w:r>
            <w:r>
              <w:rPr>
                <w:rFonts w:ascii="黑体" w:eastAsia="黑体" w:hAnsi="黑体" w:cs="宋体" w:hint="eastAsia"/>
                <w:kern w:val="0"/>
                <w:sz w:val="18"/>
                <w:szCs w:val="18"/>
              </w:rPr>
              <w:t>(17.65%),</w:t>
            </w:r>
            <w:r>
              <w:rPr>
                <w:rFonts w:ascii="黑体" w:eastAsia="黑体" w:hAnsi="黑体" w:cs="宋体" w:hint="eastAsia"/>
                <w:kern w:val="0"/>
                <w:sz w:val="18"/>
                <w:szCs w:val="18"/>
              </w:rPr>
              <w:t>会计学</w:t>
            </w:r>
            <w:r>
              <w:rPr>
                <w:rFonts w:ascii="黑体" w:eastAsia="黑体" w:hAnsi="黑体" w:cs="宋体" w:hint="eastAsia"/>
                <w:kern w:val="0"/>
                <w:sz w:val="18"/>
                <w:szCs w:val="18"/>
              </w:rPr>
              <w:t>(</w:t>
            </w:r>
            <w:r>
              <w:rPr>
                <w:rFonts w:ascii="黑体" w:eastAsia="黑体" w:hAnsi="黑体" w:cs="宋体" w:hint="eastAsia"/>
                <w:kern w:val="0"/>
                <w:sz w:val="18"/>
                <w:szCs w:val="18"/>
              </w:rPr>
              <w:t>国际会计</w:t>
            </w:r>
            <w:r>
              <w:rPr>
                <w:rFonts w:ascii="黑体" w:eastAsia="黑体" w:hAnsi="黑体" w:cs="宋体" w:hint="eastAsia"/>
                <w:kern w:val="0"/>
                <w:sz w:val="18"/>
                <w:szCs w:val="18"/>
              </w:rPr>
              <w:t>)(17.65%),</w:t>
            </w:r>
            <w:r>
              <w:rPr>
                <w:rFonts w:ascii="黑体" w:eastAsia="黑体" w:hAnsi="黑体" w:cs="宋体" w:hint="eastAsia"/>
                <w:kern w:val="0"/>
                <w:sz w:val="18"/>
                <w:szCs w:val="18"/>
              </w:rPr>
              <w:t>环境设计</w:t>
            </w:r>
            <w:r>
              <w:rPr>
                <w:rFonts w:ascii="黑体" w:eastAsia="黑体" w:hAnsi="黑体" w:cs="宋体" w:hint="eastAsia"/>
                <w:kern w:val="0"/>
                <w:sz w:val="18"/>
                <w:szCs w:val="18"/>
              </w:rPr>
              <w:t>(11.76%)</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水利、环境和公共设施管理业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税收学</w:t>
            </w:r>
            <w:r>
              <w:rPr>
                <w:rFonts w:ascii="黑体" w:eastAsia="黑体" w:hAnsi="黑体" w:cs="宋体" w:hint="eastAsia"/>
                <w:kern w:val="0"/>
                <w:sz w:val="18"/>
                <w:szCs w:val="18"/>
              </w:rPr>
              <w:t>(25.00%),</w:t>
            </w:r>
            <w:r>
              <w:rPr>
                <w:rFonts w:ascii="黑体" w:eastAsia="黑体" w:hAnsi="黑体" w:cs="宋体" w:hint="eastAsia"/>
                <w:kern w:val="0"/>
                <w:sz w:val="18"/>
                <w:szCs w:val="18"/>
              </w:rPr>
              <w:t>环境设计</w:t>
            </w:r>
            <w:r>
              <w:rPr>
                <w:rFonts w:ascii="黑体" w:eastAsia="黑体" w:hAnsi="黑体" w:cs="宋体" w:hint="eastAsia"/>
                <w:kern w:val="0"/>
                <w:sz w:val="18"/>
                <w:szCs w:val="18"/>
              </w:rPr>
              <w:t>(12.50%),</w:t>
            </w:r>
            <w:r>
              <w:rPr>
                <w:rFonts w:ascii="黑体" w:eastAsia="黑体" w:hAnsi="黑体" w:cs="宋体" w:hint="eastAsia"/>
                <w:kern w:val="0"/>
                <w:sz w:val="18"/>
                <w:szCs w:val="18"/>
              </w:rPr>
              <w:t>音乐学</w:t>
            </w:r>
            <w:r>
              <w:rPr>
                <w:rFonts w:ascii="黑体" w:eastAsia="黑体" w:hAnsi="黑体" w:cs="宋体" w:hint="eastAsia"/>
                <w:kern w:val="0"/>
                <w:sz w:val="18"/>
                <w:szCs w:val="18"/>
              </w:rPr>
              <w:t>(6.25%)</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住宿和餐饮业</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音乐学</w:t>
            </w:r>
            <w:r>
              <w:rPr>
                <w:rFonts w:ascii="黑体" w:eastAsia="黑体" w:hAnsi="黑体" w:cs="宋体" w:hint="eastAsia"/>
                <w:kern w:val="0"/>
                <w:sz w:val="18"/>
                <w:szCs w:val="18"/>
              </w:rPr>
              <w:t>(23.08%),</w:t>
            </w:r>
            <w:r>
              <w:rPr>
                <w:rFonts w:ascii="黑体" w:eastAsia="黑体" w:hAnsi="黑体" w:cs="宋体" w:hint="eastAsia"/>
                <w:kern w:val="0"/>
                <w:sz w:val="18"/>
                <w:szCs w:val="18"/>
              </w:rPr>
              <w:t>社会体育指导与管理</w:t>
            </w:r>
            <w:r>
              <w:rPr>
                <w:rFonts w:ascii="黑体" w:eastAsia="黑体" w:hAnsi="黑体" w:cs="宋体" w:hint="eastAsia"/>
                <w:kern w:val="0"/>
                <w:sz w:val="18"/>
                <w:szCs w:val="18"/>
              </w:rPr>
              <w:t>(15.38%),</w:t>
            </w:r>
            <w:r>
              <w:rPr>
                <w:rFonts w:ascii="黑体" w:eastAsia="黑体" w:hAnsi="黑体" w:cs="宋体" w:hint="eastAsia"/>
                <w:kern w:val="0"/>
                <w:sz w:val="18"/>
                <w:szCs w:val="18"/>
              </w:rPr>
              <w:t>人力资源管理</w:t>
            </w:r>
            <w:r>
              <w:rPr>
                <w:rFonts w:ascii="黑体" w:eastAsia="黑体" w:hAnsi="黑体" w:cs="宋体" w:hint="eastAsia"/>
                <w:kern w:val="0"/>
                <w:sz w:val="18"/>
                <w:szCs w:val="18"/>
              </w:rPr>
              <w:t>(7.69%)</w:t>
            </w:r>
          </w:p>
        </w:tc>
      </w:tr>
      <w:tr w:rsidR="00603F28">
        <w:trPr>
          <w:trHeight w:val="300"/>
        </w:trPr>
        <w:tc>
          <w:tcPr>
            <w:tcW w:w="167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采矿业</w:t>
            </w:r>
          </w:p>
        </w:tc>
        <w:tc>
          <w:tcPr>
            <w:tcW w:w="33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w:t>
            </w:r>
            <w:r>
              <w:rPr>
                <w:rFonts w:ascii="黑体" w:eastAsia="黑体" w:hAnsi="黑体" w:cs="宋体" w:hint="eastAsia"/>
                <w:kern w:val="0"/>
                <w:sz w:val="18"/>
                <w:szCs w:val="18"/>
              </w:rPr>
              <w:t>(23.08%),</w:t>
            </w:r>
            <w:r>
              <w:rPr>
                <w:rFonts w:ascii="黑体" w:eastAsia="黑体" w:hAnsi="黑体" w:cs="宋体" w:hint="eastAsia"/>
                <w:kern w:val="0"/>
                <w:sz w:val="18"/>
                <w:szCs w:val="18"/>
              </w:rPr>
              <w:t>税收学</w:t>
            </w:r>
            <w:r>
              <w:rPr>
                <w:rFonts w:ascii="黑体" w:eastAsia="黑体" w:hAnsi="黑体" w:cs="宋体" w:hint="eastAsia"/>
                <w:kern w:val="0"/>
                <w:sz w:val="18"/>
                <w:szCs w:val="18"/>
              </w:rPr>
              <w:t>(15.38%),</w:t>
            </w:r>
            <w:r>
              <w:rPr>
                <w:rFonts w:ascii="黑体" w:eastAsia="黑体" w:hAnsi="黑体" w:cs="宋体" w:hint="eastAsia"/>
                <w:kern w:val="0"/>
                <w:sz w:val="18"/>
                <w:szCs w:val="18"/>
              </w:rPr>
              <w:t>财政学</w:t>
            </w:r>
            <w:r>
              <w:rPr>
                <w:rFonts w:ascii="黑体" w:eastAsia="黑体" w:hAnsi="黑体" w:cs="宋体" w:hint="eastAsia"/>
                <w:kern w:val="0"/>
                <w:sz w:val="18"/>
                <w:szCs w:val="18"/>
              </w:rPr>
              <w:t>(15.38%)</w:t>
            </w:r>
          </w:p>
        </w:tc>
      </w:tr>
      <w:tr w:rsidR="00603F28">
        <w:trPr>
          <w:trHeight w:val="300"/>
        </w:trPr>
        <w:tc>
          <w:tcPr>
            <w:tcW w:w="167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卫生和社会工作</w:t>
            </w:r>
          </w:p>
        </w:tc>
        <w:tc>
          <w:tcPr>
            <w:tcW w:w="33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税收学</w:t>
            </w:r>
            <w:r>
              <w:rPr>
                <w:rFonts w:ascii="黑体" w:eastAsia="黑体" w:hAnsi="黑体" w:cs="宋体" w:hint="eastAsia"/>
                <w:kern w:val="0"/>
                <w:sz w:val="18"/>
                <w:szCs w:val="18"/>
              </w:rPr>
              <w:t>(18.18%),</w:t>
            </w:r>
            <w:r>
              <w:rPr>
                <w:rFonts w:ascii="黑体" w:eastAsia="黑体" w:hAnsi="黑体" w:cs="宋体" w:hint="eastAsia"/>
                <w:kern w:val="0"/>
                <w:sz w:val="18"/>
                <w:szCs w:val="18"/>
              </w:rPr>
              <w:t>商务英语</w:t>
            </w:r>
            <w:r>
              <w:rPr>
                <w:rFonts w:ascii="黑体" w:eastAsia="黑体" w:hAnsi="黑体" w:cs="宋体" w:hint="eastAsia"/>
                <w:kern w:val="0"/>
                <w:sz w:val="18"/>
                <w:szCs w:val="18"/>
              </w:rPr>
              <w:t>(18.18%),</w:t>
            </w:r>
            <w:r>
              <w:rPr>
                <w:rFonts w:ascii="黑体" w:eastAsia="黑体" w:hAnsi="黑体" w:cs="宋体" w:hint="eastAsia"/>
                <w:kern w:val="0"/>
                <w:sz w:val="18"/>
                <w:szCs w:val="18"/>
              </w:rPr>
              <w:t>软件工程</w:t>
            </w:r>
            <w:r>
              <w:rPr>
                <w:rFonts w:ascii="黑体" w:eastAsia="黑体" w:hAnsi="黑体" w:cs="宋体" w:hint="eastAsia"/>
                <w:kern w:val="0"/>
                <w:sz w:val="18"/>
                <w:szCs w:val="18"/>
              </w:rPr>
              <w:t>(9.09%)</w:t>
            </w:r>
          </w:p>
        </w:tc>
      </w:tr>
    </w:tbl>
    <w:p w:rsidR="00603F28" w:rsidRDefault="00041260">
      <w:pPr>
        <w:ind w:firstLineChars="200" w:firstLine="420"/>
      </w:pPr>
      <w:r>
        <w:rPr>
          <w:rFonts w:hint="eastAsia"/>
        </w:rPr>
        <w:t>2019</w:t>
      </w:r>
      <w:r>
        <w:rPr>
          <w:rFonts w:hint="eastAsia"/>
        </w:rPr>
        <w:t>届在金融行业就业的本科毕业生中，</w:t>
      </w:r>
      <w:r>
        <w:rPr>
          <w:rFonts w:hint="eastAsia"/>
        </w:rPr>
        <w:t>5</w:t>
      </w:r>
      <w:r>
        <w:t>30</w:t>
      </w:r>
      <w:r>
        <w:rPr>
          <w:rFonts w:hint="eastAsia"/>
        </w:rPr>
        <w:t>人就业于货币金融服务业，资本市场服务业、保险业和其他金融服务业从业人数分别为</w:t>
      </w:r>
      <w:r>
        <w:rPr>
          <w:rFonts w:hint="eastAsia"/>
        </w:rPr>
        <w:t>5</w:t>
      </w:r>
      <w:r>
        <w:t>9</w:t>
      </w:r>
      <w:r>
        <w:rPr>
          <w:rFonts w:hint="eastAsia"/>
        </w:rPr>
        <w:t>人、</w:t>
      </w:r>
      <w:r>
        <w:t>55</w:t>
      </w:r>
      <w:r>
        <w:rPr>
          <w:rFonts w:hint="eastAsia"/>
        </w:rPr>
        <w:t>人和</w:t>
      </w:r>
      <w:r>
        <w:rPr>
          <w:rFonts w:hint="eastAsia"/>
        </w:rPr>
        <w:t>1</w:t>
      </w:r>
      <w:r>
        <w:rPr>
          <w:rFonts w:hint="eastAsia"/>
        </w:rPr>
        <w:t>人。</w:t>
      </w:r>
    </w:p>
    <w:p w:rsidR="00603F28" w:rsidRDefault="00041260">
      <w:pPr>
        <w:keepNext/>
        <w:jc w:val="center"/>
      </w:pPr>
      <w:r>
        <w:rPr>
          <w:noProof/>
        </w:rPr>
        <w:drawing>
          <wp:inline distT="0" distB="0" distL="0" distR="0">
            <wp:extent cx="4429125" cy="2743200"/>
            <wp:effectExtent l="0" t="0" r="0" b="0"/>
            <wp:docPr id="82" name="图表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5</w:t>
      </w:r>
      <w:r>
        <w:fldChar w:fldCharType="end"/>
      </w:r>
      <w:r>
        <w:t xml:space="preserve">  2019</w:t>
      </w:r>
      <w:r>
        <w:rPr>
          <w:rFonts w:hint="eastAsia"/>
        </w:rPr>
        <w:t>届本科毕业生金融行业内就业情况</w:t>
      </w:r>
    </w:p>
    <w:p w:rsidR="00603F28" w:rsidRDefault="00041260">
      <w:pPr>
        <w:ind w:firstLineChars="200" w:firstLine="420"/>
      </w:pPr>
      <w:r>
        <w:rPr>
          <w:rFonts w:hint="eastAsia"/>
        </w:rPr>
        <w:t>2019</w:t>
      </w:r>
      <w:r>
        <w:rPr>
          <w:rFonts w:hint="eastAsia"/>
        </w:rPr>
        <w:t>届在制造业就业的本科毕业生中，除其他制造业外，主要为计算机、通信和其他电子设备制造业（</w:t>
      </w:r>
      <w:r>
        <w:rPr>
          <w:rFonts w:hint="eastAsia"/>
        </w:rPr>
        <w:t>74</w:t>
      </w:r>
      <w:r>
        <w:rPr>
          <w:rFonts w:hint="eastAsia"/>
        </w:rPr>
        <w:t>人，占比</w:t>
      </w:r>
      <w:r>
        <w:rPr>
          <w:rFonts w:hint="eastAsia"/>
        </w:rPr>
        <w:t>20.50%</w:t>
      </w:r>
      <w:r>
        <w:rPr>
          <w:rFonts w:hint="eastAsia"/>
        </w:rPr>
        <w:t>）、电气机械和器材制造业（</w:t>
      </w:r>
      <w:r>
        <w:rPr>
          <w:rFonts w:hint="eastAsia"/>
        </w:rPr>
        <w:t>43</w:t>
      </w:r>
      <w:r>
        <w:rPr>
          <w:rFonts w:hint="eastAsia"/>
        </w:rPr>
        <w:t>人，</w:t>
      </w:r>
      <w:r>
        <w:rPr>
          <w:rFonts w:hint="eastAsia"/>
        </w:rPr>
        <w:t>11.91%</w:t>
      </w:r>
      <w:r>
        <w:rPr>
          <w:rFonts w:hint="eastAsia"/>
        </w:rPr>
        <w:t>）和食品</w:t>
      </w:r>
      <w:r>
        <w:rPr>
          <w:rFonts w:hint="eastAsia"/>
        </w:rPr>
        <w:lastRenderedPageBreak/>
        <w:t>制造业（</w:t>
      </w:r>
      <w:r>
        <w:rPr>
          <w:rFonts w:hint="eastAsia"/>
        </w:rPr>
        <w:t>39</w:t>
      </w:r>
      <w:r>
        <w:rPr>
          <w:rFonts w:hint="eastAsia"/>
        </w:rPr>
        <w:t>人，</w:t>
      </w:r>
      <w:r>
        <w:rPr>
          <w:rFonts w:hint="eastAsia"/>
        </w:rPr>
        <w:t>10.</w:t>
      </w:r>
      <w:r>
        <w:rPr>
          <w:rFonts w:hint="eastAsia"/>
        </w:rPr>
        <w:t>80%</w:t>
      </w:r>
      <w:r>
        <w:rPr>
          <w:rFonts w:hint="eastAsia"/>
        </w:rPr>
        <w:t>）。</w:t>
      </w:r>
    </w:p>
    <w:p w:rsidR="00603F28" w:rsidRDefault="00041260">
      <w:pPr>
        <w:keepNext/>
      </w:pPr>
      <w:r>
        <w:rPr>
          <w:noProof/>
        </w:rPr>
        <w:drawing>
          <wp:inline distT="0" distB="0" distL="0" distR="0">
            <wp:extent cx="5274310" cy="379476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6</w:t>
      </w:r>
      <w:r>
        <w:fldChar w:fldCharType="end"/>
      </w:r>
      <w:r>
        <w:t xml:space="preserve">  2019</w:t>
      </w:r>
      <w:r>
        <w:t>届本科毕业生制造业行业内就业情况</w:t>
      </w:r>
    </w:p>
    <w:p w:rsidR="00603F28" w:rsidRDefault="00041260">
      <w:pPr>
        <w:pStyle w:val="3"/>
        <w:spacing w:before="120"/>
      </w:pPr>
      <w:bookmarkStart w:id="29" w:name="_Toc27642597"/>
      <w:bookmarkStart w:id="30" w:name="_Toc2798_WPSOffice_Level3"/>
      <w:bookmarkStart w:id="31" w:name="_Toc534724571"/>
      <w:r>
        <w:t>（二）</w:t>
      </w:r>
      <w:r>
        <w:rPr>
          <w:rFonts w:hint="eastAsia"/>
        </w:rPr>
        <w:t>毕业生</w:t>
      </w:r>
      <w:r>
        <w:t>就业地区</w:t>
      </w:r>
      <w:bookmarkEnd w:id="29"/>
      <w:bookmarkEnd w:id="30"/>
      <w:bookmarkEnd w:id="31"/>
    </w:p>
    <w:p w:rsidR="00603F28" w:rsidRDefault="00041260">
      <w:pPr>
        <w:ind w:firstLine="420"/>
      </w:pPr>
      <w:r>
        <w:rPr>
          <w:rFonts w:hint="eastAsia"/>
        </w:rPr>
        <w:t>2</w:t>
      </w:r>
      <w:r>
        <w:t>019</w:t>
      </w:r>
      <w:r>
        <w:rPr>
          <w:rFonts w:hint="eastAsia"/>
        </w:rPr>
        <w:t>届本科毕业生就业地区分布在</w:t>
      </w:r>
      <w:r>
        <w:rPr>
          <w:rFonts w:hint="eastAsia"/>
        </w:rPr>
        <w:t>30</w:t>
      </w:r>
      <w:r>
        <w:rPr>
          <w:rFonts w:hint="eastAsia"/>
        </w:rPr>
        <w:t>个省市和自治区，其中毕业生就业主要集中在广东（</w:t>
      </w:r>
      <w:r>
        <w:rPr>
          <w:rFonts w:hint="eastAsia"/>
        </w:rPr>
        <w:t>8</w:t>
      </w:r>
      <w:r>
        <w:t>58</w:t>
      </w:r>
      <w:r>
        <w:rPr>
          <w:rFonts w:hint="eastAsia"/>
        </w:rPr>
        <w:t>人，占比</w:t>
      </w:r>
      <w:r>
        <w:rPr>
          <w:rFonts w:hint="eastAsia"/>
        </w:rPr>
        <w:t>32.57%</w:t>
      </w:r>
      <w:r>
        <w:rPr>
          <w:rFonts w:hint="eastAsia"/>
        </w:rPr>
        <w:t>）、江西（</w:t>
      </w:r>
      <w:r>
        <w:rPr>
          <w:rFonts w:hint="eastAsia"/>
        </w:rPr>
        <w:t>713</w:t>
      </w:r>
      <w:r>
        <w:rPr>
          <w:rFonts w:hint="eastAsia"/>
        </w:rPr>
        <w:t>人，占比</w:t>
      </w:r>
      <w:r>
        <w:rPr>
          <w:rFonts w:hint="eastAsia"/>
        </w:rPr>
        <w:t>27.07%</w:t>
      </w:r>
      <w:r>
        <w:rPr>
          <w:rFonts w:hint="eastAsia"/>
        </w:rPr>
        <w:t>）、浙江（</w:t>
      </w:r>
      <w:r>
        <w:rPr>
          <w:rFonts w:hint="eastAsia"/>
        </w:rPr>
        <w:t>228</w:t>
      </w:r>
      <w:r>
        <w:rPr>
          <w:rFonts w:hint="eastAsia"/>
        </w:rPr>
        <w:t>人，占比</w:t>
      </w:r>
      <w:r>
        <w:rPr>
          <w:rFonts w:hint="eastAsia"/>
        </w:rPr>
        <w:t>8.66</w:t>
      </w:r>
      <w:r>
        <w:t>%</w:t>
      </w:r>
      <w:r>
        <w:rPr>
          <w:rFonts w:hint="eastAsia"/>
        </w:rPr>
        <w:t>）和上海（</w:t>
      </w:r>
      <w:r>
        <w:rPr>
          <w:rFonts w:hint="eastAsia"/>
        </w:rPr>
        <w:t>196</w:t>
      </w:r>
      <w:r>
        <w:rPr>
          <w:rFonts w:hint="eastAsia"/>
        </w:rPr>
        <w:t>人，占比</w:t>
      </w:r>
      <w:r>
        <w:rPr>
          <w:rFonts w:hint="eastAsia"/>
        </w:rPr>
        <w:t>7.74%</w:t>
      </w:r>
      <w:r>
        <w:rPr>
          <w:rFonts w:hint="eastAsia"/>
        </w:rPr>
        <w:t>）。</w:t>
      </w:r>
    </w:p>
    <w:p w:rsidR="00603F28" w:rsidRDefault="00041260">
      <w:pPr>
        <w:keepNext/>
      </w:pPr>
      <w:r>
        <w:rPr>
          <w:noProof/>
        </w:rPr>
        <w:lastRenderedPageBreak/>
        <w:drawing>
          <wp:inline distT="0" distB="0" distL="0" distR="0">
            <wp:extent cx="5274310" cy="391350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a:stretch>
                      <a:fillRect/>
                    </a:stretch>
                  </pic:blipFill>
                  <pic:spPr>
                    <a:xfrm>
                      <a:off x="0" y="0"/>
                      <a:ext cx="5274310" cy="3913505"/>
                    </a:xfrm>
                    <a:prstGeom prst="rect">
                      <a:avLst/>
                    </a:prstGeom>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7</w:t>
      </w:r>
      <w:r>
        <w:fldChar w:fldCharType="end"/>
      </w:r>
      <w:r>
        <w:t xml:space="preserve">  2019</w:t>
      </w:r>
      <w:r>
        <w:rPr>
          <w:rFonts w:hint="eastAsia"/>
        </w:rPr>
        <w:t>届本科毕业生就业地区</w:t>
      </w:r>
    </w:p>
    <w:p w:rsidR="00603F28" w:rsidRDefault="00041260">
      <w:pPr>
        <w:pStyle w:val="3"/>
        <w:spacing w:before="120"/>
      </w:pPr>
      <w:bookmarkStart w:id="32" w:name="_Toc27642598"/>
      <w:bookmarkStart w:id="33" w:name="_Toc534724572"/>
      <w:bookmarkStart w:id="34" w:name="_Toc2511_WPSOffice_Level3"/>
      <w:r>
        <w:t>（三）</w:t>
      </w:r>
      <w:r>
        <w:rPr>
          <w:rFonts w:hint="eastAsia"/>
        </w:rPr>
        <w:t>毕业生</w:t>
      </w:r>
      <w:r>
        <w:t>就业单位性质</w:t>
      </w:r>
      <w:bookmarkEnd w:id="32"/>
      <w:bookmarkEnd w:id="33"/>
      <w:bookmarkEnd w:id="34"/>
    </w:p>
    <w:p w:rsidR="00603F28" w:rsidRDefault="00041260">
      <w:pPr>
        <w:ind w:firstLine="420"/>
      </w:pPr>
      <w:r>
        <w:rPr>
          <w:rFonts w:hint="eastAsia"/>
        </w:rPr>
        <w:t>2019</w:t>
      </w:r>
      <w:r>
        <w:rPr>
          <w:rFonts w:hint="eastAsia"/>
        </w:rPr>
        <w:t>届本科毕业生就业单位性质主要是民营企业（</w:t>
      </w:r>
      <w:r>
        <w:rPr>
          <w:rFonts w:hint="eastAsia"/>
        </w:rPr>
        <w:t>17</w:t>
      </w:r>
      <w:r>
        <w:t>31</w:t>
      </w:r>
      <w:r>
        <w:rPr>
          <w:rFonts w:hint="eastAsia"/>
        </w:rPr>
        <w:t>人，占比</w:t>
      </w:r>
      <w:r>
        <w:t>65.72</w:t>
      </w:r>
      <w:r>
        <w:rPr>
          <w:rFonts w:hint="eastAsia"/>
        </w:rPr>
        <w:t>%</w:t>
      </w:r>
      <w:r>
        <w:rPr>
          <w:rFonts w:hint="eastAsia"/>
        </w:rPr>
        <w:t>）、国有企业（</w:t>
      </w:r>
      <w:r>
        <w:t>654</w:t>
      </w:r>
      <w:r>
        <w:rPr>
          <w:rFonts w:hint="eastAsia"/>
        </w:rPr>
        <w:t>人，占比</w:t>
      </w:r>
      <w:r>
        <w:t>24.83</w:t>
      </w:r>
      <w:r>
        <w:rPr>
          <w:rFonts w:hint="eastAsia"/>
        </w:rPr>
        <w:t>%</w:t>
      </w:r>
      <w:r>
        <w:rPr>
          <w:rFonts w:hint="eastAsia"/>
        </w:rPr>
        <w:t>）、三资企业（</w:t>
      </w:r>
      <w:r>
        <w:t>163</w:t>
      </w:r>
      <w:r>
        <w:rPr>
          <w:rFonts w:hint="eastAsia"/>
        </w:rPr>
        <w:t>人，占比</w:t>
      </w:r>
      <w:r>
        <w:t>6.19%</w:t>
      </w:r>
      <w:r>
        <w:rPr>
          <w:rFonts w:hint="eastAsia"/>
        </w:rPr>
        <w:t>）。</w:t>
      </w:r>
    </w:p>
    <w:p w:rsidR="00603F28" w:rsidRDefault="00041260">
      <w:pPr>
        <w:pStyle w:val="a3"/>
      </w:pPr>
      <w:r>
        <w:rPr>
          <w:noProof/>
        </w:rPr>
        <w:drawing>
          <wp:inline distT="0" distB="0" distL="0" distR="0">
            <wp:extent cx="5248910" cy="2603500"/>
            <wp:effectExtent l="0" t="0" r="889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5248910" cy="2603500"/>
                    </a:xfrm>
                    <a:prstGeom prst="rect">
                      <a:avLst/>
                    </a:prstGeom>
                    <a:noFill/>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8</w:t>
      </w:r>
      <w:r>
        <w:fldChar w:fldCharType="end"/>
      </w:r>
      <w:r>
        <w:t xml:space="preserve">  2019</w:t>
      </w:r>
      <w:r>
        <w:rPr>
          <w:rFonts w:hint="eastAsia"/>
        </w:rPr>
        <w:t>届本科毕业生就业单位性质</w:t>
      </w:r>
    </w:p>
    <w:p w:rsidR="00603F28" w:rsidRDefault="00041260">
      <w:pPr>
        <w:pStyle w:val="3"/>
        <w:spacing w:before="120"/>
      </w:pPr>
      <w:bookmarkStart w:id="35" w:name="_Toc27642599"/>
      <w:r>
        <w:lastRenderedPageBreak/>
        <w:t>（四）</w:t>
      </w:r>
      <w:r>
        <w:rPr>
          <w:rFonts w:hint="eastAsia"/>
        </w:rPr>
        <w:t>毕业生就业职位类型</w:t>
      </w:r>
      <w:bookmarkEnd w:id="35"/>
    </w:p>
    <w:p w:rsidR="00603F28" w:rsidRDefault="00041260">
      <w:pPr>
        <w:ind w:firstLine="420"/>
      </w:pPr>
      <w:r>
        <w:rPr>
          <w:rFonts w:hint="eastAsia"/>
        </w:rPr>
        <w:t>2</w:t>
      </w:r>
      <w:r>
        <w:t>019</w:t>
      </w:r>
      <w:r>
        <w:rPr>
          <w:rFonts w:hint="eastAsia"/>
        </w:rPr>
        <w:t>届本科毕业生就业职位主要是经济业务人员（</w:t>
      </w:r>
      <w:r>
        <w:rPr>
          <w:rFonts w:hint="eastAsia"/>
        </w:rPr>
        <w:t>1</w:t>
      </w:r>
      <w:r>
        <w:t>047</w:t>
      </w:r>
      <w:r>
        <w:rPr>
          <w:rFonts w:hint="eastAsia"/>
        </w:rPr>
        <w:t>人，占比</w:t>
      </w:r>
      <w:r>
        <w:t>39.75</w:t>
      </w:r>
      <w:r>
        <w:rPr>
          <w:rFonts w:hint="eastAsia"/>
        </w:rPr>
        <w:t>%</w:t>
      </w:r>
      <w:r>
        <w:rPr>
          <w:rFonts w:hint="eastAsia"/>
        </w:rPr>
        <w:t>）、办事人员和有关人员（</w:t>
      </w:r>
      <w:r>
        <w:t>384</w:t>
      </w:r>
      <w:r>
        <w:rPr>
          <w:rFonts w:hint="eastAsia"/>
        </w:rPr>
        <w:t>人，占比</w:t>
      </w:r>
      <w:r>
        <w:t>14.58</w:t>
      </w:r>
      <w:r>
        <w:rPr>
          <w:rFonts w:hint="eastAsia"/>
        </w:rPr>
        <w:t>%</w:t>
      </w:r>
      <w:r>
        <w:rPr>
          <w:rFonts w:hint="eastAsia"/>
        </w:rPr>
        <w:t>）、金融业务人员（</w:t>
      </w:r>
      <w:r>
        <w:rPr>
          <w:rFonts w:hint="eastAsia"/>
        </w:rPr>
        <w:t>304</w:t>
      </w:r>
      <w:r>
        <w:rPr>
          <w:rFonts w:hint="eastAsia"/>
        </w:rPr>
        <w:t>人，占比</w:t>
      </w:r>
      <w:r>
        <w:t>11.54</w:t>
      </w:r>
      <w:r>
        <w:rPr>
          <w:rFonts w:hint="eastAsia"/>
        </w:rPr>
        <w:t>%</w:t>
      </w:r>
      <w:r>
        <w:rPr>
          <w:rFonts w:hint="eastAsia"/>
        </w:rPr>
        <w:t>）。</w:t>
      </w:r>
    </w:p>
    <w:p w:rsidR="00603F28" w:rsidRDefault="00041260">
      <w:pPr>
        <w:keepNext/>
      </w:pPr>
      <w:r>
        <w:rPr>
          <w:noProof/>
        </w:rPr>
        <w:drawing>
          <wp:inline distT="0" distB="0" distL="0" distR="0">
            <wp:extent cx="5248275" cy="353377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9</w:t>
      </w:r>
      <w:r>
        <w:fldChar w:fldCharType="end"/>
      </w:r>
      <w:r>
        <w:t xml:space="preserve">  2019</w:t>
      </w:r>
      <w:r>
        <w:rPr>
          <w:rFonts w:hint="eastAsia"/>
        </w:rPr>
        <w:t>届本科毕业生就业职位类型</w:t>
      </w:r>
    </w:p>
    <w:p w:rsidR="00603F28" w:rsidRDefault="00041260">
      <w:pPr>
        <w:pStyle w:val="3"/>
        <w:spacing w:before="120"/>
      </w:pPr>
      <w:bookmarkStart w:id="36" w:name="_Toc27642600"/>
      <w:r>
        <w:t>（</w:t>
      </w:r>
      <w:r>
        <w:rPr>
          <w:rFonts w:hint="eastAsia"/>
        </w:rPr>
        <w:t>五</w:t>
      </w:r>
      <w:r>
        <w:t>）</w:t>
      </w:r>
      <w:r>
        <w:rPr>
          <w:rFonts w:hint="eastAsia"/>
        </w:rPr>
        <w:t>签约世界</w:t>
      </w:r>
      <w:r>
        <w:rPr>
          <w:rFonts w:hint="eastAsia"/>
        </w:rPr>
        <w:t>500</w:t>
      </w:r>
      <w:r>
        <w:rPr>
          <w:rFonts w:hint="eastAsia"/>
        </w:rPr>
        <w:t>强就业情况</w:t>
      </w:r>
      <w:bookmarkEnd w:id="36"/>
    </w:p>
    <w:p w:rsidR="00603F28" w:rsidRDefault="00041260">
      <w:pPr>
        <w:ind w:firstLine="475"/>
        <w:rPr>
          <w:rFonts w:ascii="time" w:hAnsi="time" w:hint="eastAsia"/>
        </w:rPr>
      </w:pPr>
      <w:r>
        <w:rPr>
          <w:rFonts w:ascii="time" w:hAnsi="time" w:hint="eastAsia"/>
        </w:rPr>
        <w:t>2</w:t>
      </w:r>
      <w:r>
        <w:rPr>
          <w:rFonts w:ascii="time" w:hAnsi="time"/>
        </w:rPr>
        <w:t>019</w:t>
      </w:r>
      <w:r>
        <w:rPr>
          <w:rFonts w:ascii="time" w:hAnsi="time" w:hint="eastAsia"/>
        </w:rPr>
        <w:t>届本科毕业生在世界</w:t>
      </w:r>
      <w:r>
        <w:rPr>
          <w:rFonts w:ascii="time" w:hAnsi="time" w:hint="eastAsia"/>
        </w:rPr>
        <w:t>500</w:t>
      </w:r>
      <w:r>
        <w:rPr>
          <w:rFonts w:ascii="time" w:hAnsi="time" w:hint="eastAsia"/>
        </w:rPr>
        <w:t>强企业的就业人数为</w:t>
      </w:r>
      <w:r>
        <w:rPr>
          <w:rFonts w:ascii="time" w:hAnsi="time"/>
        </w:rPr>
        <w:t>718</w:t>
      </w:r>
      <w:r>
        <w:rPr>
          <w:rFonts w:ascii="time" w:hAnsi="time" w:hint="eastAsia"/>
        </w:rPr>
        <w:t>人，占通过各种录用形式落实就业单位人数的</w:t>
      </w:r>
      <w:r>
        <w:rPr>
          <w:rFonts w:ascii="time" w:hAnsi="time"/>
        </w:rPr>
        <w:t>27.26</w:t>
      </w:r>
      <w:r>
        <w:rPr>
          <w:rFonts w:ascii="time" w:hAnsi="time" w:hint="eastAsia"/>
        </w:rPr>
        <w:t>%</w:t>
      </w:r>
      <w:r>
        <w:rPr>
          <w:rFonts w:ascii="time" w:hAnsi="time"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9</w:t>
      </w:r>
      <w:r>
        <w:fldChar w:fldCharType="end"/>
      </w:r>
      <w:r>
        <w:t xml:space="preserve">  2019</w:t>
      </w:r>
      <w:r>
        <w:rPr>
          <w:rFonts w:hint="eastAsia"/>
        </w:rPr>
        <w:t>届本科毕业生签约世界</w:t>
      </w:r>
      <w:r>
        <w:rPr>
          <w:rFonts w:hint="eastAsia"/>
        </w:rPr>
        <w:t>500</w:t>
      </w:r>
      <w:r>
        <w:rPr>
          <w:rFonts w:hint="eastAsia"/>
        </w:rPr>
        <w:t>强企业情况</w:t>
      </w:r>
    </w:p>
    <w:tbl>
      <w:tblPr>
        <w:tblW w:w="5000" w:type="pct"/>
        <w:tblLook w:val="04A0" w:firstRow="1" w:lastRow="0" w:firstColumn="1" w:lastColumn="0" w:noHBand="0" w:noVBand="1"/>
      </w:tblPr>
      <w:tblGrid>
        <w:gridCol w:w="819"/>
        <w:gridCol w:w="5338"/>
        <w:gridCol w:w="850"/>
        <w:gridCol w:w="1289"/>
      </w:tblGrid>
      <w:tr w:rsidR="00603F28">
        <w:trPr>
          <w:trHeight w:val="300"/>
          <w:tblHeader/>
        </w:trPr>
        <w:tc>
          <w:tcPr>
            <w:tcW w:w="494"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3217"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名称</w:t>
            </w:r>
          </w:p>
        </w:tc>
        <w:tc>
          <w:tcPr>
            <w:tcW w:w="512"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777"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中国建筑集团有限公司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13.65%</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中国工商银行</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73</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10.17%</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中国建设银行</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7.52%</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中国银行</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6.96%</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中国农业银行</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4.46%</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中国平安保险</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3.62%</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中国人民保险集团股份有限公司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3.62%</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中国交通建设集团有限公司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3.48%</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招商银行</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3.48%</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中国邮政集团公司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11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中国联合网络通信股份有限公司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中国铁路工程集团有限公司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2.79%</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美的集团股份有限公司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2.79%</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中国人寿保险</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2.23%</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苏宁易购集团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2.23%</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华为投资控股有限公司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2.09%</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兴业银行</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2.09%</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中国铁道建筑总公司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1.81%</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中国中信集团有限公司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1.81%</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交通银行</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1.67%</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中国太平保险集团有限责任公司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1.53%</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太平洋建设集团</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1.25%</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中国太平洋保险</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1.25%</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百威英博</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0.97%</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中国华润有限公司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中国电信集团公司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0.84%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国家电网公司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0.70%</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中国石油化工集团公司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0.70%</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碧桂园控股有限公司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0.70%</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江西铜业集团公司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0.70%</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中国恒大集团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0.56%</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中国光大集团</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0.56%</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京东集团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上海浦东发展银行</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万科企业股份有限公司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象屿集团</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泰康保险集团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华夏保险</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0.42%</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中国移动通信集团公司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0.28%</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中国电力建设集团有限公司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0.28%</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中国民生银行</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0.28%</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绿地控股集团有限公司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0.28%</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中国中车集团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0.28%</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通用汽车公司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上海汽车集团股份有限公司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汇丰银行控股公司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中国中化集团公司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中国南方电网有限责任公司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中国航空工业集团公司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惠普公司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莱茵集团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浙江吉利控股集团</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53</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中国华能集团公司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可口可乐公司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腾讯控股有限公司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中国能源建设集团</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厦门建发集团有限公司</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58</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中国航空油料集团公司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w:t>
            </w:r>
          </w:p>
        </w:tc>
        <w:tc>
          <w:tcPr>
            <w:tcW w:w="32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兖矿集团</w:t>
            </w:r>
          </w:p>
        </w:tc>
        <w:tc>
          <w:tcPr>
            <w:tcW w:w="51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49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60</w:t>
            </w:r>
          </w:p>
        </w:tc>
        <w:tc>
          <w:tcPr>
            <w:tcW w:w="32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中国通用技术</w:t>
            </w:r>
            <w:r>
              <w:rPr>
                <w:rFonts w:ascii="黑体" w:eastAsia="黑体" w:hAnsi="黑体" w:cs="宋体" w:hint="eastAsia"/>
                <w:kern w:val="0"/>
                <w:sz w:val="18"/>
                <w:szCs w:val="18"/>
              </w:rPr>
              <w:t>(</w:t>
            </w:r>
            <w:r>
              <w:rPr>
                <w:rFonts w:ascii="黑体" w:eastAsia="黑体" w:hAnsi="黑体" w:cs="宋体" w:hint="eastAsia"/>
                <w:kern w:val="0"/>
                <w:sz w:val="18"/>
                <w:szCs w:val="18"/>
              </w:rPr>
              <w:t>集团</w:t>
            </w:r>
            <w:r>
              <w:rPr>
                <w:rFonts w:ascii="黑体" w:eastAsia="黑体" w:hAnsi="黑体" w:cs="宋体" w:hint="eastAsia"/>
                <w:kern w:val="0"/>
                <w:sz w:val="18"/>
                <w:szCs w:val="18"/>
              </w:rPr>
              <w:t>)</w:t>
            </w:r>
            <w:r>
              <w:rPr>
                <w:rFonts w:ascii="黑体" w:eastAsia="黑体" w:hAnsi="黑体" w:cs="宋体" w:hint="eastAsia"/>
                <w:kern w:val="0"/>
                <w:sz w:val="18"/>
                <w:szCs w:val="18"/>
              </w:rPr>
              <w:t>控股有限责任公司</w:t>
            </w:r>
          </w:p>
        </w:tc>
        <w:tc>
          <w:tcPr>
            <w:tcW w:w="51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7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0.14%</w:t>
            </w:r>
          </w:p>
        </w:tc>
      </w:tr>
      <w:tr w:rsidR="00603F28">
        <w:trPr>
          <w:trHeight w:val="300"/>
        </w:trPr>
        <w:tc>
          <w:tcPr>
            <w:tcW w:w="3711" w:type="pct"/>
            <w:gridSpan w:val="2"/>
            <w:tcBorders>
              <w:top w:val="single" w:sz="4" w:space="0" w:color="auto"/>
              <w:left w:val="single" w:sz="4" w:space="0" w:color="auto"/>
              <w:bottom w:val="single" w:sz="4" w:space="0" w:color="auto"/>
              <w:right w:val="single" w:sz="4" w:space="0" w:color="auto"/>
            </w:tcBorders>
            <w:shd w:val="clear" w:color="000000" w:fill="D00E2C"/>
            <w:noWrap/>
            <w:vAlign w:val="bottom"/>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512"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718</w:t>
            </w:r>
          </w:p>
        </w:tc>
        <w:tc>
          <w:tcPr>
            <w:tcW w:w="777"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r>
    </w:tbl>
    <w:p w:rsidR="00603F28" w:rsidRDefault="00041260">
      <w:pPr>
        <w:pStyle w:val="3"/>
        <w:spacing w:before="120"/>
      </w:pPr>
      <w:bookmarkStart w:id="37" w:name="_Toc27642601"/>
      <w:r>
        <w:t>（</w:t>
      </w:r>
      <w:r>
        <w:rPr>
          <w:rFonts w:hint="eastAsia"/>
        </w:rPr>
        <w:t>六</w:t>
      </w:r>
      <w:r>
        <w:t>）</w:t>
      </w:r>
      <w:r>
        <w:rPr>
          <w:rFonts w:hint="eastAsia"/>
        </w:rPr>
        <w:t>典型就业单位就业情况</w:t>
      </w:r>
      <w:bookmarkEnd w:id="37"/>
    </w:p>
    <w:p w:rsidR="00603F28" w:rsidRDefault="00041260">
      <w:pPr>
        <w:ind w:firstLine="420"/>
        <w:rPr>
          <w:rFonts w:ascii="宋体" w:hAnsi="宋体"/>
        </w:rPr>
      </w:pPr>
      <w:r>
        <w:rPr>
          <w:rFonts w:hint="eastAsia"/>
        </w:rPr>
        <w:t>2</w:t>
      </w:r>
      <w:r>
        <w:t>019</w:t>
      </w:r>
      <w:r>
        <w:rPr>
          <w:rFonts w:hint="eastAsia"/>
        </w:rPr>
        <w:t>届本科毕业生在商业银行的就业人数较多，为</w:t>
      </w:r>
      <w:r>
        <w:rPr>
          <w:rFonts w:hint="eastAsia"/>
        </w:rPr>
        <w:t>416</w:t>
      </w:r>
      <w:r>
        <w:rPr>
          <w:rFonts w:hint="eastAsia"/>
        </w:rPr>
        <w:t>人，其中国有商业银行、城市商业银行和全国股份制商业银行的就业人数分别为</w:t>
      </w:r>
      <w:r>
        <w:rPr>
          <w:rFonts w:hint="eastAsia"/>
        </w:rPr>
        <w:t>244</w:t>
      </w:r>
      <w:r>
        <w:rPr>
          <w:rFonts w:hint="eastAsia"/>
        </w:rPr>
        <w:t>、</w:t>
      </w:r>
      <w:r>
        <w:rPr>
          <w:rFonts w:hint="eastAsia"/>
        </w:rPr>
        <w:t>76</w:t>
      </w:r>
      <w:r>
        <w:rPr>
          <w:rFonts w:hint="eastAsia"/>
        </w:rPr>
        <w:t>和</w:t>
      </w:r>
      <w:r>
        <w:rPr>
          <w:rFonts w:hint="eastAsia"/>
        </w:rPr>
        <w:t>70</w:t>
      </w:r>
      <w:r>
        <w:rPr>
          <w:rFonts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10</w:t>
      </w:r>
      <w:r>
        <w:fldChar w:fldCharType="end"/>
      </w:r>
      <w:r>
        <w:t xml:space="preserve">  2019</w:t>
      </w:r>
      <w:r>
        <w:rPr>
          <w:rFonts w:hint="eastAsia"/>
        </w:rPr>
        <w:t>届本科毕业生典型就业单位就业情况</w:t>
      </w:r>
    </w:p>
    <w:tbl>
      <w:tblPr>
        <w:tblW w:w="5000" w:type="pct"/>
        <w:tblLook w:val="04A0" w:firstRow="1" w:lastRow="0" w:firstColumn="1" w:lastColumn="0" w:noHBand="0" w:noVBand="1"/>
      </w:tblPr>
      <w:tblGrid>
        <w:gridCol w:w="6567"/>
        <w:gridCol w:w="1729"/>
      </w:tblGrid>
      <w:tr w:rsidR="00603F28">
        <w:trPr>
          <w:trHeight w:val="315"/>
          <w:tblHeader/>
        </w:trPr>
        <w:tc>
          <w:tcPr>
            <w:tcW w:w="3958"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典型就业单位</w:t>
            </w:r>
          </w:p>
        </w:tc>
        <w:tc>
          <w:tcPr>
            <w:tcW w:w="1042"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r>
      <w:tr w:rsidR="00603F28">
        <w:trPr>
          <w:trHeight w:val="315"/>
        </w:trPr>
        <w:tc>
          <w:tcPr>
            <w:tcW w:w="39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国有商业银行</w:t>
            </w:r>
          </w:p>
        </w:tc>
        <w:tc>
          <w:tcPr>
            <w:tcW w:w="1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244</w:t>
            </w:r>
          </w:p>
        </w:tc>
      </w:tr>
      <w:tr w:rsidR="00603F28">
        <w:trPr>
          <w:trHeight w:val="315"/>
        </w:trPr>
        <w:tc>
          <w:tcPr>
            <w:tcW w:w="39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会计师事务所</w:t>
            </w:r>
          </w:p>
        </w:tc>
        <w:tc>
          <w:tcPr>
            <w:tcW w:w="1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127</w:t>
            </w:r>
          </w:p>
        </w:tc>
      </w:tr>
      <w:tr w:rsidR="00603F28">
        <w:trPr>
          <w:trHeight w:val="315"/>
        </w:trPr>
        <w:tc>
          <w:tcPr>
            <w:tcW w:w="39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城市商业银行</w:t>
            </w:r>
          </w:p>
        </w:tc>
        <w:tc>
          <w:tcPr>
            <w:tcW w:w="1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w:t>
            </w:r>
          </w:p>
        </w:tc>
      </w:tr>
      <w:tr w:rsidR="00603F28">
        <w:trPr>
          <w:trHeight w:val="315"/>
        </w:trPr>
        <w:tc>
          <w:tcPr>
            <w:tcW w:w="39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全国股份制商业银行</w:t>
            </w:r>
          </w:p>
        </w:tc>
        <w:tc>
          <w:tcPr>
            <w:tcW w:w="1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70</w:t>
            </w:r>
          </w:p>
        </w:tc>
      </w:tr>
      <w:tr w:rsidR="00603F28">
        <w:trPr>
          <w:trHeight w:val="315"/>
        </w:trPr>
        <w:tc>
          <w:tcPr>
            <w:tcW w:w="39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保险公司</w:t>
            </w:r>
          </w:p>
        </w:tc>
        <w:tc>
          <w:tcPr>
            <w:tcW w:w="1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w:t>
            </w:r>
          </w:p>
        </w:tc>
      </w:tr>
      <w:tr w:rsidR="00603F28">
        <w:trPr>
          <w:trHeight w:val="315"/>
        </w:trPr>
        <w:tc>
          <w:tcPr>
            <w:tcW w:w="39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证券公司</w:t>
            </w:r>
          </w:p>
        </w:tc>
        <w:tc>
          <w:tcPr>
            <w:tcW w:w="1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r>
      <w:tr w:rsidR="00603F28">
        <w:trPr>
          <w:trHeight w:val="315"/>
        </w:trPr>
        <w:tc>
          <w:tcPr>
            <w:tcW w:w="39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中国人民银行</w:t>
            </w:r>
          </w:p>
        </w:tc>
        <w:tc>
          <w:tcPr>
            <w:tcW w:w="1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r>
      <w:tr w:rsidR="00603F28">
        <w:trPr>
          <w:trHeight w:val="315"/>
        </w:trPr>
        <w:tc>
          <w:tcPr>
            <w:tcW w:w="39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政策性银行</w:t>
            </w:r>
          </w:p>
        </w:tc>
        <w:tc>
          <w:tcPr>
            <w:tcW w:w="1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r>
      <w:tr w:rsidR="00603F28">
        <w:trPr>
          <w:trHeight w:val="315"/>
        </w:trPr>
        <w:tc>
          <w:tcPr>
            <w:tcW w:w="3958" w:type="pct"/>
            <w:tcBorders>
              <w:top w:val="nil"/>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1042"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665</w:t>
            </w:r>
          </w:p>
        </w:tc>
      </w:tr>
    </w:tbl>
    <w:p w:rsidR="00603F28" w:rsidRDefault="00041260">
      <w:pPr>
        <w:pStyle w:val="3"/>
        <w:spacing w:before="120"/>
      </w:pPr>
      <w:bookmarkStart w:id="38" w:name="_Toc27642602"/>
      <w:r>
        <w:rPr>
          <w:rFonts w:hint="eastAsia"/>
        </w:rPr>
        <w:t>（七</w:t>
      </w:r>
      <w:r>
        <w:t>）</w:t>
      </w:r>
      <w:r>
        <w:rPr>
          <w:rFonts w:hint="eastAsia"/>
        </w:rPr>
        <w:t>基层就业情况</w:t>
      </w:r>
      <w:bookmarkEnd w:id="38"/>
    </w:p>
    <w:p w:rsidR="00603F28" w:rsidRDefault="00041260">
      <w:pPr>
        <w:ind w:firstLineChars="200" w:firstLine="420"/>
        <w:rPr>
          <w:rFonts w:ascii="time" w:hAnsi="time" w:hint="eastAsia"/>
        </w:rPr>
      </w:pPr>
      <w:r>
        <w:rPr>
          <w:rFonts w:ascii="time" w:hAnsi="time" w:hint="eastAsia"/>
        </w:rPr>
        <w:t>2</w:t>
      </w:r>
      <w:r>
        <w:rPr>
          <w:rFonts w:ascii="time" w:hAnsi="time"/>
        </w:rPr>
        <w:t>019</w:t>
      </w:r>
      <w:r>
        <w:rPr>
          <w:rFonts w:ascii="time" w:hAnsi="time" w:hint="eastAsia"/>
        </w:rPr>
        <w:t>届本科毕业生在基层就业</w:t>
      </w:r>
      <w:r>
        <w:rPr>
          <w:rFonts w:ascii="time" w:hAnsi="time" w:hint="eastAsia"/>
          <w:sz w:val="18"/>
          <w:szCs w:val="18"/>
          <w:vertAlign w:val="superscript"/>
        </w:rPr>
        <w:t>[</w:t>
      </w:r>
      <w:r>
        <w:rPr>
          <w:rStyle w:val="afc"/>
          <w:rFonts w:ascii="time" w:hAnsi="time"/>
          <w:sz w:val="18"/>
          <w:szCs w:val="18"/>
        </w:rPr>
        <w:footnoteReference w:id="4"/>
      </w:r>
      <w:r>
        <w:rPr>
          <w:rFonts w:ascii="time" w:hAnsi="time"/>
          <w:sz w:val="18"/>
          <w:szCs w:val="18"/>
          <w:vertAlign w:val="superscript"/>
        </w:rPr>
        <w:t>]</w:t>
      </w:r>
      <w:r>
        <w:rPr>
          <w:rFonts w:ascii="time" w:hAnsi="time" w:hint="eastAsia"/>
        </w:rPr>
        <w:t>的人数为</w:t>
      </w:r>
      <w:r>
        <w:rPr>
          <w:rFonts w:ascii="time" w:hAnsi="time" w:hint="eastAsia"/>
        </w:rPr>
        <w:t>3</w:t>
      </w:r>
      <w:r>
        <w:rPr>
          <w:rFonts w:ascii="time" w:hAnsi="time"/>
        </w:rPr>
        <w:t>89</w:t>
      </w:r>
      <w:r>
        <w:rPr>
          <w:rFonts w:ascii="time" w:hAnsi="time" w:hint="eastAsia"/>
        </w:rPr>
        <w:t>人，占通过各种录用形式落实就业单位人数的</w:t>
      </w:r>
      <w:r>
        <w:rPr>
          <w:rFonts w:ascii="time" w:hAnsi="time"/>
        </w:rPr>
        <w:t>14.77</w:t>
      </w:r>
      <w:r>
        <w:rPr>
          <w:rFonts w:ascii="time" w:hAnsi="time" w:hint="eastAsia"/>
        </w:rPr>
        <w:t>%</w:t>
      </w:r>
      <w:r>
        <w:rPr>
          <w:rFonts w:ascii="time" w:hAnsi="time" w:hint="eastAsia"/>
        </w:rPr>
        <w:t>，其中主要集中在浙江省义乌市和江西省南昌县，分别为</w:t>
      </w:r>
      <w:r>
        <w:rPr>
          <w:rFonts w:ascii="time" w:hAnsi="time" w:hint="eastAsia"/>
        </w:rPr>
        <w:t>14</w:t>
      </w:r>
      <w:r>
        <w:rPr>
          <w:rFonts w:ascii="time" w:hAnsi="time" w:hint="eastAsia"/>
        </w:rPr>
        <w:t>人和</w:t>
      </w:r>
      <w:r>
        <w:rPr>
          <w:rFonts w:ascii="time" w:hAnsi="time" w:hint="eastAsia"/>
        </w:rPr>
        <w:t>13</w:t>
      </w:r>
      <w:r>
        <w:rPr>
          <w:rFonts w:ascii="time" w:hAnsi="time"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11</w:t>
      </w:r>
      <w:r>
        <w:fldChar w:fldCharType="end"/>
      </w:r>
      <w:r>
        <w:t xml:space="preserve">  2019</w:t>
      </w:r>
      <w:r>
        <w:rPr>
          <w:rFonts w:hint="eastAsia"/>
        </w:rPr>
        <w:t>届本科毕业生基层就业地区（前</w:t>
      </w:r>
      <w:r>
        <w:rPr>
          <w:rFonts w:hint="eastAsia"/>
        </w:rPr>
        <w:t>10</w:t>
      </w:r>
      <w:r>
        <w:rPr>
          <w:rFonts w:hint="eastAsia"/>
        </w:rPr>
        <w:t>）</w:t>
      </w:r>
    </w:p>
    <w:tbl>
      <w:tblPr>
        <w:tblW w:w="5000" w:type="pct"/>
        <w:tblLook w:val="04A0" w:firstRow="1" w:lastRow="0" w:firstColumn="1" w:lastColumn="0" w:noHBand="0" w:noVBand="1"/>
      </w:tblPr>
      <w:tblGrid>
        <w:gridCol w:w="1424"/>
        <w:gridCol w:w="4516"/>
        <w:gridCol w:w="2356"/>
      </w:tblGrid>
      <w:tr w:rsidR="00603F28">
        <w:trPr>
          <w:trHeight w:val="300"/>
          <w:tblHeader/>
        </w:trPr>
        <w:tc>
          <w:tcPr>
            <w:tcW w:w="858"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272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基层就业地区</w:t>
            </w:r>
          </w:p>
        </w:tc>
        <w:tc>
          <w:tcPr>
            <w:tcW w:w="1420"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r>
      <w:tr w:rsidR="00603F28">
        <w:trPr>
          <w:trHeight w:val="300"/>
        </w:trPr>
        <w:tc>
          <w:tcPr>
            <w:tcW w:w="8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272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浙江省义乌市</w:t>
            </w:r>
          </w:p>
        </w:tc>
        <w:tc>
          <w:tcPr>
            <w:tcW w:w="142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r>
      <w:tr w:rsidR="00603F28">
        <w:trPr>
          <w:trHeight w:val="300"/>
        </w:trPr>
        <w:tc>
          <w:tcPr>
            <w:tcW w:w="8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272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江西省南昌县</w:t>
            </w:r>
          </w:p>
        </w:tc>
        <w:tc>
          <w:tcPr>
            <w:tcW w:w="142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r>
      <w:tr w:rsidR="00603F28">
        <w:trPr>
          <w:trHeight w:val="300"/>
        </w:trPr>
        <w:tc>
          <w:tcPr>
            <w:tcW w:w="8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272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江西省奉新县</w:t>
            </w:r>
          </w:p>
        </w:tc>
        <w:tc>
          <w:tcPr>
            <w:tcW w:w="142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8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272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江西省贵溪市</w:t>
            </w:r>
          </w:p>
        </w:tc>
        <w:tc>
          <w:tcPr>
            <w:tcW w:w="142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8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272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江西省丰城市</w:t>
            </w:r>
          </w:p>
        </w:tc>
        <w:tc>
          <w:tcPr>
            <w:tcW w:w="142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8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6</w:t>
            </w:r>
          </w:p>
        </w:tc>
        <w:tc>
          <w:tcPr>
            <w:tcW w:w="272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福建省石狮市</w:t>
            </w:r>
          </w:p>
        </w:tc>
        <w:tc>
          <w:tcPr>
            <w:tcW w:w="142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8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272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浙江省宁海县</w:t>
            </w:r>
          </w:p>
        </w:tc>
        <w:tc>
          <w:tcPr>
            <w:tcW w:w="142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8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272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江西省井冈山市</w:t>
            </w:r>
          </w:p>
        </w:tc>
        <w:tc>
          <w:tcPr>
            <w:tcW w:w="142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85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272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江西省瑞昌市</w:t>
            </w:r>
          </w:p>
        </w:tc>
        <w:tc>
          <w:tcPr>
            <w:tcW w:w="142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85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272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江西省鄱阳县</w:t>
            </w:r>
          </w:p>
        </w:tc>
        <w:tc>
          <w:tcPr>
            <w:tcW w:w="142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bl>
    <w:p w:rsidR="00603F28" w:rsidRDefault="00041260">
      <w:pPr>
        <w:pStyle w:val="3"/>
        <w:spacing w:before="120"/>
      </w:pPr>
      <w:bookmarkStart w:id="39" w:name="_Toc27642603"/>
      <w:r>
        <w:t>（</w:t>
      </w:r>
      <w:r>
        <w:rPr>
          <w:rFonts w:hint="eastAsia"/>
        </w:rPr>
        <w:t>八</w:t>
      </w:r>
      <w:r>
        <w:t>）</w:t>
      </w:r>
      <w:r>
        <w:rPr>
          <w:rFonts w:hint="eastAsia"/>
        </w:rPr>
        <w:t>西部就业情况</w:t>
      </w:r>
      <w:bookmarkEnd w:id="39"/>
    </w:p>
    <w:p w:rsidR="00603F28" w:rsidRDefault="00041260">
      <w:pPr>
        <w:ind w:firstLineChars="200" w:firstLine="420"/>
      </w:pPr>
      <w:r>
        <w:t>2019</w:t>
      </w:r>
      <w:r>
        <w:rPr>
          <w:rFonts w:hint="eastAsia"/>
        </w:rPr>
        <w:t>届本科毕业生到西部地区</w:t>
      </w:r>
      <w:r>
        <w:rPr>
          <w:rFonts w:hint="eastAsia"/>
          <w:sz w:val="18"/>
          <w:szCs w:val="18"/>
          <w:vertAlign w:val="superscript"/>
        </w:rPr>
        <w:t>[</w:t>
      </w:r>
      <w:r>
        <w:rPr>
          <w:rStyle w:val="afc"/>
          <w:sz w:val="18"/>
          <w:szCs w:val="18"/>
        </w:rPr>
        <w:footnoteReference w:id="5"/>
      </w:r>
      <w:r>
        <w:rPr>
          <w:sz w:val="18"/>
          <w:szCs w:val="18"/>
          <w:vertAlign w:val="superscript"/>
        </w:rPr>
        <w:t>]</w:t>
      </w:r>
      <w:r>
        <w:rPr>
          <w:rFonts w:hint="eastAsia"/>
        </w:rPr>
        <w:t>就业的人数为</w:t>
      </w:r>
      <w:r>
        <w:rPr>
          <w:rFonts w:hint="eastAsia"/>
        </w:rPr>
        <w:t>178</w:t>
      </w:r>
      <w:r>
        <w:rPr>
          <w:rFonts w:hint="eastAsia"/>
        </w:rPr>
        <w:t>人，占通过各种录用形式落实就业单位人数的</w:t>
      </w:r>
      <w:r>
        <w:rPr>
          <w:rFonts w:hint="eastAsia"/>
        </w:rPr>
        <w:t>6.76%</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12</w:t>
      </w:r>
      <w:r>
        <w:fldChar w:fldCharType="end"/>
      </w:r>
      <w:r>
        <w:t xml:space="preserve">  2019</w:t>
      </w:r>
      <w:r>
        <w:rPr>
          <w:rFonts w:hint="eastAsia"/>
        </w:rPr>
        <w:t>届本科毕业生西部就业情况</w:t>
      </w:r>
    </w:p>
    <w:tbl>
      <w:tblPr>
        <w:tblW w:w="5000" w:type="pct"/>
        <w:tblLook w:val="04A0" w:firstRow="1" w:lastRow="0" w:firstColumn="1" w:lastColumn="0" w:noHBand="0" w:noVBand="1"/>
      </w:tblPr>
      <w:tblGrid>
        <w:gridCol w:w="2766"/>
        <w:gridCol w:w="2766"/>
        <w:gridCol w:w="2764"/>
      </w:tblGrid>
      <w:tr w:rsidR="00603F28">
        <w:trPr>
          <w:trHeight w:val="300"/>
          <w:tblHeader/>
        </w:trPr>
        <w:tc>
          <w:tcPr>
            <w:tcW w:w="1667"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西部地区</w:t>
            </w:r>
          </w:p>
        </w:tc>
        <w:tc>
          <w:tcPr>
            <w:tcW w:w="166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166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四川</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14.04%</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广西</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12.92%</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内蒙古</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12.36%</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新疆</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10.67%</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云南</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9.55%</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贵州</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9.55%</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重庆</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7.87%</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陕西</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7.30%</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青海</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7.30%</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甘肃</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3.37%</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西藏</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2.81%</w:t>
            </w:r>
          </w:p>
        </w:tc>
      </w:tr>
      <w:tr w:rsidR="00603F28">
        <w:trPr>
          <w:trHeight w:val="300"/>
        </w:trPr>
        <w:tc>
          <w:tcPr>
            <w:tcW w:w="166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宁夏</w:t>
            </w:r>
          </w:p>
        </w:tc>
        <w:tc>
          <w:tcPr>
            <w:tcW w:w="166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166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2.25%</w:t>
            </w:r>
          </w:p>
        </w:tc>
      </w:tr>
      <w:tr w:rsidR="00603F28">
        <w:trPr>
          <w:trHeight w:val="300"/>
        </w:trPr>
        <w:tc>
          <w:tcPr>
            <w:tcW w:w="1667"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1667"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178</w:t>
            </w:r>
          </w:p>
        </w:tc>
        <w:tc>
          <w:tcPr>
            <w:tcW w:w="1666"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r>
    </w:tbl>
    <w:p w:rsidR="00603F28" w:rsidRDefault="00041260">
      <w:pPr>
        <w:pStyle w:val="3"/>
        <w:spacing w:before="120"/>
      </w:pPr>
      <w:bookmarkStart w:id="40" w:name="_Toc27642604"/>
      <w:r>
        <w:t>（</w:t>
      </w:r>
      <w:r>
        <w:rPr>
          <w:rFonts w:hint="eastAsia"/>
        </w:rPr>
        <w:t>九</w:t>
      </w:r>
      <w:r>
        <w:t>）</w:t>
      </w:r>
      <w:r>
        <w:rPr>
          <w:rFonts w:hint="eastAsia"/>
        </w:rPr>
        <w:t>省内就业情况</w:t>
      </w:r>
      <w:bookmarkEnd w:id="40"/>
    </w:p>
    <w:p w:rsidR="00603F28" w:rsidRDefault="00041260">
      <w:pPr>
        <w:pStyle w:val="4"/>
        <w:spacing w:before="120"/>
        <w:ind w:firstLine="482"/>
      </w:pPr>
      <w:r>
        <w:t>1.</w:t>
      </w:r>
      <w:r>
        <w:rPr>
          <w:rFonts w:hint="eastAsia"/>
        </w:rPr>
        <w:t>省内外生源江西省内就业情况</w:t>
      </w:r>
    </w:p>
    <w:p w:rsidR="00603F28" w:rsidRDefault="00041260">
      <w:pPr>
        <w:ind w:firstLineChars="200" w:firstLine="420"/>
      </w:pPr>
      <w:r>
        <w:rPr>
          <w:rFonts w:hint="eastAsia"/>
        </w:rPr>
        <w:t>2019</w:t>
      </w:r>
      <w:r>
        <w:rPr>
          <w:rFonts w:hint="eastAsia"/>
        </w:rPr>
        <w:t>届本科毕业生省内就业人数为</w:t>
      </w:r>
      <w:r>
        <w:rPr>
          <w:rFonts w:hint="eastAsia"/>
        </w:rPr>
        <w:t>713</w:t>
      </w:r>
      <w:r>
        <w:rPr>
          <w:rFonts w:hint="eastAsia"/>
        </w:rPr>
        <w:t>人，其中省内生源人数为</w:t>
      </w:r>
      <w:r>
        <w:rPr>
          <w:rFonts w:hint="eastAsia"/>
        </w:rPr>
        <w:t>592</w:t>
      </w:r>
      <w:r>
        <w:rPr>
          <w:rFonts w:hint="eastAsia"/>
        </w:rPr>
        <w:t>人，占比</w:t>
      </w:r>
      <w:r>
        <w:rPr>
          <w:rFonts w:hint="eastAsia"/>
        </w:rPr>
        <w:t>83.03%</w:t>
      </w:r>
      <w:r>
        <w:rPr>
          <w:rFonts w:hint="eastAsia"/>
        </w:rPr>
        <w:t>；省外生源</w:t>
      </w:r>
      <w:r>
        <w:rPr>
          <w:rFonts w:hint="eastAsia"/>
        </w:rPr>
        <w:t>121</w:t>
      </w:r>
      <w:r>
        <w:rPr>
          <w:rFonts w:hint="eastAsia"/>
        </w:rPr>
        <w:t>人，占比</w:t>
      </w:r>
      <w:r>
        <w:rPr>
          <w:rFonts w:hint="eastAsia"/>
        </w:rPr>
        <w:t>16.97%</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13</w:t>
      </w:r>
      <w:r>
        <w:fldChar w:fldCharType="end"/>
      </w:r>
      <w:r>
        <w:t xml:space="preserve">  2019</w:t>
      </w:r>
      <w:r>
        <w:rPr>
          <w:rFonts w:hint="eastAsia"/>
        </w:rPr>
        <w:t>届本科毕业生省内外生源江西省内就业情况</w:t>
      </w:r>
    </w:p>
    <w:tbl>
      <w:tblPr>
        <w:tblW w:w="5000" w:type="pct"/>
        <w:tblLook w:val="04A0" w:firstRow="1" w:lastRow="0" w:firstColumn="1" w:lastColumn="0" w:noHBand="0" w:noVBand="1"/>
      </w:tblPr>
      <w:tblGrid>
        <w:gridCol w:w="2766"/>
        <w:gridCol w:w="2766"/>
        <w:gridCol w:w="2764"/>
      </w:tblGrid>
      <w:tr w:rsidR="00603F28">
        <w:trPr>
          <w:trHeight w:val="300"/>
        </w:trPr>
        <w:tc>
          <w:tcPr>
            <w:tcW w:w="1667"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省内就业</w:t>
            </w:r>
          </w:p>
        </w:tc>
        <w:tc>
          <w:tcPr>
            <w:tcW w:w="166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省内生源</w:t>
            </w:r>
          </w:p>
        </w:tc>
        <w:tc>
          <w:tcPr>
            <w:tcW w:w="166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省外生源</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人数</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592</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121</w:t>
            </w:r>
          </w:p>
        </w:tc>
      </w:tr>
      <w:tr w:rsidR="00603F28">
        <w:trPr>
          <w:trHeight w:val="300"/>
        </w:trPr>
        <w:tc>
          <w:tcPr>
            <w:tcW w:w="166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比例</w:t>
            </w:r>
          </w:p>
        </w:tc>
        <w:tc>
          <w:tcPr>
            <w:tcW w:w="166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83.03%</w:t>
            </w:r>
          </w:p>
        </w:tc>
        <w:tc>
          <w:tcPr>
            <w:tcW w:w="166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16.97%</w:t>
            </w:r>
          </w:p>
        </w:tc>
      </w:tr>
    </w:tbl>
    <w:p w:rsidR="00603F28" w:rsidRDefault="00041260">
      <w:pPr>
        <w:pStyle w:val="4"/>
        <w:spacing w:before="120"/>
        <w:ind w:firstLine="482"/>
      </w:pPr>
      <w:r>
        <w:lastRenderedPageBreak/>
        <w:t>2.</w:t>
      </w:r>
      <w:r>
        <w:rPr>
          <w:rFonts w:hint="eastAsia"/>
        </w:rPr>
        <w:t>省内就业地区</w:t>
      </w:r>
    </w:p>
    <w:p w:rsidR="00603F28" w:rsidRDefault="00041260">
      <w:pPr>
        <w:ind w:firstLine="420"/>
        <w:rPr>
          <w:rFonts w:ascii="宋体" w:hAnsi="宋体"/>
        </w:rPr>
      </w:pPr>
      <w:r>
        <w:rPr>
          <w:rFonts w:hint="eastAsia"/>
        </w:rPr>
        <w:t>2</w:t>
      </w:r>
      <w:r>
        <w:t>019</w:t>
      </w:r>
      <w:r>
        <w:rPr>
          <w:rFonts w:hint="eastAsia"/>
        </w:rPr>
        <w:t>届本科毕业生省内就业地区主要在南昌市，人数为</w:t>
      </w:r>
      <w:r>
        <w:rPr>
          <w:rFonts w:hint="eastAsia"/>
        </w:rPr>
        <w:t>480</w:t>
      </w:r>
      <w:r>
        <w:rPr>
          <w:rFonts w:hint="eastAsia"/>
        </w:rPr>
        <w:t>人，占比</w:t>
      </w:r>
      <w:r>
        <w:rPr>
          <w:rFonts w:hint="eastAsia"/>
        </w:rPr>
        <w:t>67.32%</w:t>
      </w:r>
      <w:r>
        <w:rPr>
          <w:rFonts w:hint="eastAsia"/>
        </w:rPr>
        <w:t>，其他地区就业人数为</w:t>
      </w:r>
      <w:r>
        <w:rPr>
          <w:rFonts w:hint="eastAsia"/>
        </w:rPr>
        <w:t>2</w:t>
      </w:r>
      <w:r>
        <w:t>33</w:t>
      </w:r>
      <w:r>
        <w:rPr>
          <w:rFonts w:hint="eastAsia"/>
        </w:rPr>
        <w:t>人，占比</w:t>
      </w:r>
      <w:r>
        <w:rPr>
          <w:rFonts w:hint="eastAsia"/>
        </w:rPr>
        <w:t>32.68%</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14</w:t>
      </w:r>
      <w:r>
        <w:fldChar w:fldCharType="end"/>
      </w:r>
      <w:r>
        <w:t xml:space="preserve">  2019</w:t>
      </w:r>
      <w:r>
        <w:rPr>
          <w:rFonts w:hint="eastAsia"/>
        </w:rPr>
        <w:t>届本科毕业生省内就业地区</w:t>
      </w:r>
    </w:p>
    <w:tbl>
      <w:tblPr>
        <w:tblW w:w="5000" w:type="pct"/>
        <w:tblLook w:val="04A0" w:firstRow="1" w:lastRow="0" w:firstColumn="1" w:lastColumn="0" w:noHBand="0" w:noVBand="1"/>
      </w:tblPr>
      <w:tblGrid>
        <w:gridCol w:w="2691"/>
        <w:gridCol w:w="2746"/>
        <w:gridCol w:w="2859"/>
      </w:tblGrid>
      <w:tr w:rsidR="00603F28">
        <w:trPr>
          <w:trHeight w:val="300"/>
          <w:tblHeader/>
        </w:trPr>
        <w:tc>
          <w:tcPr>
            <w:tcW w:w="1622"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省内地区</w:t>
            </w:r>
          </w:p>
        </w:tc>
        <w:tc>
          <w:tcPr>
            <w:tcW w:w="165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就业人数</w:t>
            </w:r>
          </w:p>
        </w:tc>
        <w:tc>
          <w:tcPr>
            <w:tcW w:w="1723"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480</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67.32%</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赣州市</w:t>
            </w:r>
          </w:p>
        </w:tc>
        <w:tc>
          <w:tcPr>
            <w:tcW w:w="16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w:t>
            </w:r>
          </w:p>
        </w:tc>
        <w:tc>
          <w:tcPr>
            <w:tcW w:w="172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6.17%</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九江市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5.75%</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吉安市</w:t>
            </w:r>
          </w:p>
        </w:tc>
        <w:tc>
          <w:tcPr>
            <w:tcW w:w="16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172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5.05%</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上饶市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5.05%</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宜春市</w:t>
            </w:r>
          </w:p>
        </w:tc>
        <w:tc>
          <w:tcPr>
            <w:tcW w:w="16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w:t>
            </w:r>
          </w:p>
        </w:tc>
        <w:tc>
          <w:tcPr>
            <w:tcW w:w="172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3.93%</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景德镇市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1.96%</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鹰潭市</w:t>
            </w:r>
          </w:p>
        </w:tc>
        <w:tc>
          <w:tcPr>
            <w:tcW w:w="16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172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1.68%</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新余市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1.26%</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抚州市</w:t>
            </w:r>
          </w:p>
        </w:tc>
        <w:tc>
          <w:tcPr>
            <w:tcW w:w="16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172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1.12%</w:t>
            </w:r>
          </w:p>
        </w:tc>
      </w:tr>
      <w:tr w:rsidR="00603F28">
        <w:trPr>
          <w:trHeight w:val="300"/>
        </w:trPr>
        <w:tc>
          <w:tcPr>
            <w:tcW w:w="162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萍乡市</w:t>
            </w:r>
          </w:p>
        </w:tc>
        <w:tc>
          <w:tcPr>
            <w:tcW w:w="16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172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0.70%</w:t>
            </w:r>
          </w:p>
        </w:tc>
      </w:tr>
      <w:tr w:rsidR="00603F28">
        <w:trPr>
          <w:trHeight w:val="300"/>
        </w:trPr>
        <w:tc>
          <w:tcPr>
            <w:tcW w:w="1622" w:type="pct"/>
            <w:tcBorders>
              <w:top w:val="nil"/>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1655"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713</w:t>
            </w:r>
          </w:p>
        </w:tc>
        <w:tc>
          <w:tcPr>
            <w:tcW w:w="1723"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r>
    </w:tbl>
    <w:p w:rsidR="00603F28" w:rsidRDefault="00041260">
      <w:pPr>
        <w:keepNext/>
        <w:jc w:val="center"/>
      </w:pPr>
      <w:r>
        <w:rPr>
          <w:noProof/>
        </w:rPr>
        <w:drawing>
          <wp:inline distT="0" distB="0" distL="0" distR="0">
            <wp:extent cx="2785745" cy="35280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3"/>
                    <a:stretch>
                      <a:fillRect/>
                    </a:stretch>
                  </pic:blipFill>
                  <pic:spPr>
                    <a:xfrm>
                      <a:off x="0" y="0"/>
                      <a:ext cx="2796979" cy="3542401"/>
                    </a:xfrm>
                    <a:prstGeom prst="rect">
                      <a:avLst/>
                    </a:prstGeom>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10</w:t>
      </w:r>
      <w:r>
        <w:fldChar w:fldCharType="end"/>
      </w:r>
      <w:r>
        <w:t xml:space="preserve">  2019</w:t>
      </w:r>
      <w:r>
        <w:rPr>
          <w:rFonts w:hint="eastAsia"/>
        </w:rPr>
        <w:t>届本科毕业生省内就业地区</w:t>
      </w:r>
    </w:p>
    <w:p w:rsidR="00603F28" w:rsidRDefault="00041260">
      <w:pPr>
        <w:pStyle w:val="4"/>
        <w:spacing w:before="120"/>
        <w:ind w:firstLine="482"/>
      </w:pPr>
      <w:r>
        <w:t>3.</w:t>
      </w:r>
      <w:r>
        <w:rPr>
          <w:rFonts w:hint="eastAsia"/>
        </w:rPr>
        <w:t>省内就业行业</w:t>
      </w:r>
    </w:p>
    <w:p w:rsidR="00603F28" w:rsidRDefault="00041260">
      <w:pPr>
        <w:ind w:firstLine="420"/>
        <w:rPr>
          <w:rFonts w:ascii="宋体" w:hAnsi="宋体"/>
        </w:rPr>
      </w:pPr>
      <w:r>
        <w:rPr>
          <w:rFonts w:hint="eastAsia"/>
        </w:rPr>
        <w:t>2</w:t>
      </w:r>
      <w:r>
        <w:t>019</w:t>
      </w:r>
      <w:r>
        <w:rPr>
          <w:rFonts w:hint="eastAsia"/>
        </w:rPr>
        <w:t>届本科毕业生省内就业行业主要为金融业（</w:t>
      </w:r>
      <w:r>
        <w:rPr>
          <w:rFonts w:hint="eastAsia"/>
        </w:rPr>
        <w:t>160</w:t>
      </w:r>
      <w:r>
        <w:rPr>
          <w:rFonts w:hint="eastAsia"/>
        </w:rPr>
        <w:t>人，占比</w:t>
      </w:r>
      <w:r>
        <w:rPr>
          <w:rFonts w:hint="eastAsia"/>
        </w:rPr>
        <w:t>22.44%</w:t>
      </w:r>
      <w:r>
        <w:rPr>
          <w:rFonts w:hint="eastAsia"/>
        </w:rPr>
        <w:t>），其次是居民服务、修理和其他服务业（</w:t>
      </w:r>
      <w:r>
        <w:rPr>
          <w:rFonts w:hint="eastAsia"/>
        </w:rPr>
        <w:t>101</w:t>
      </w:r>
      <w:r>
        <w:rPr>
          <w:rFonts w:hint="eastAsia"/>
        </w:rPr>
        <w:t>人，占比</w:t>
      </w:r>
      <w:r>
        <w:rPr>
          <w:rFonts w:hint="eastAsia"/>
        </w:rPr>
        <w:t>14.17%</w:t>
      </w:r>
      <w:r>
        <w:rPr>
          <w:rFonts w:hint="eastAsia"/>
        </w:rPr>
        <w:t>）和制造业（</w:t>
      </w:r>
      <w:r>
        <w:rPr>
          <w:rFonts w:hint="eastAsia"/>
        </w:rPr>
        <w:t>84</w:t>
      </w:r>
      <w:r>
        <w:rPr>
          <w:rFonts w:hint="eastAsia"/>
        </w:rPr>
        <w:t>人，占比</w:t>
      </w:r>
      <w:r>
        <w:rPr>
          <w:rFonts w:hint="eastAsia"/>
        </w:rPr>
        <w:t>11.78%</w:t>
      </w:r>
      <w:r>
        <w:rPr>
          <w:rFonts w:hint="eastAsia"/>
        </w:rPr>
        <w:t>）。</w:t>
      </w:r>
    </w:p>
    <w:p w:rsidR="00603F28" w:rsidRDefault="00041260">
      <w:pPr>
        <w:keepNext/>
      </w:pPr>
      <w:r>
        <w:rPr>
          <w:noProof/>
        </w:rPr>
        <w:lastRenderedPageBreak/>
        <w:drawing>
          <wp:inline distT="0" distB="0" distL="0" distR="0">
            <wp:extent cx="5005070" cy="2854960"/>
            <wp:effectExtent l="0" t="0" r="508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007293" cy="2856611"/>
                    </a:xfrm>
                    <a:prstGeom prst="rect">
                      <a:avLst/>
                    </a:prstGeom>
                    <a:noFill/>
                  </pic:spPr>
                </pic:pic>
              </a:graphicData>
            </a:graphic>
          </wp:inline>
        </w:drawing>
      </w:r>
    </w:p>
    <w:p w:rsidR="00603F28" w:rsidRDefault="00041260">
      <w:pPr>
        <w:pStyle w:val="a3"/>
      </w:pPr>
      <w:r>
        <w:rPr>
          <w:rFonts w:hint="eastAsia"/>
        </w:rPr>
        <w:t>图</w:t>
      </w:r>
      <w:r>
        <w:rPr>
          <w:rFonts w:hint="eastAsia"/>
        </w:rPr>
        <w:t>1-</w:t>
      </w:r>
      <w:r>
        <w:fldChar w:fldCharType="begin"/>
      </w:r>
      <w:r>
        <w:rPr>
          <w:rFonts w:hint="eastAsia"/>
        </w:rPr>
        <w:instrText xml:space="preserve">SEQ </w:instrText>
      </w:r>
      <w:r>
        <w:rPr>
          <w:rFonts w:hint="eastAsia"/>
        </w:rPr>
        <w:instrText>图</w:instrText>
      </w:r>
      <w:r>
        <w:rPr>
          <w:rFonts w:hint="eastAsia"/>
        </w:rPr>
        <w:instrText>1- \* ARABIC</w:instrText>
      </w:r>
      <w:r>
        <w:fldChar w:fldCharType="separate"/>
      </w:r>
      <w:r>
        <w:t>11</w:t>
      </w:r>
      <w:r>
        <w:fldChar w:fldCharType="end"/>
      </w:r>
      <w:r>
        <w:t xml:space="preserve">  2019</w:t>
      </w:r>
      <w:r>
        <w:t>届本科毕业生省内就业行业</w:t>
      </w:r>
    </w:p>
    <w:p w:rsidR="00603F28" w:rsidRDefault="00041260">
      <w:pPr>
        <w:pStyle w:val="4"/>
        <w:spacing w:before="120"/>
      </w:pPr>
      <w:r>
        <w:t>4.</w:t>
      </w:r>
      <w:r>
        <w:rPr>
          <w:rFonts w:hint="eastAsia"/>
        </w:rPr>
        <w:t>省内金融业和制造业行业专业支撑</w:t>
      </w:r>
    </w:p>
    <w:p w:rsidR="00603F28" w:rsidRDefault="00041260">
      <w:pPr>
        <w:ind w:firstLine="420"/>
      </w:pPr>
      <w:r>
        <w:rPr>
          <w:rFonts w:hint="eastAsia"/>
        </w:rPr>
        <w:t>金融业行业就业毕业生的专业主要为金融学（</w:t>
      </w:r>
      <w:r>
        <w:t>17.50</w:t>
      </w:r>
      <w:r>
        <w:rPr>
          <w:rFonts w:hint="eastAsia"/>
        </w:rPr>
        <w:t>%</w:t>
      </w:r>
      <w:r>
        <w:rPr>
          <w:rFonts w:hint="eastAsia"/>
        </w:rPr>
        <w:t>）、投资学（</w:t>
      </w:r>
      <w:r>
        <w:t>11.25</w:t>
      </w:r>
      <w:r>
        <w:rPr>
          <w:rFonts w:hint="eastAsia"/>
        </w:rPr>
        <w:t>%</w:t>
      </w:r>
      <w:r>
        <w:rPr>
          <w:rFonts w:hint="eastAsia"/>
        </w:rPr>
        <w:t>）等；制造业行业就业毕业生的专业主要为会计学类专业，如会计学（职教本科合作实验班）（</w:t>
      </w:r>
      <w:r>
        <w:rPr>
          <w:rFonts w:hint="eastAsia"/>
        </w:rPr>
        <w:t>8.33%</w:t>
      </w:r>
      <w:r>
        <w:rPr>
          <w:rFonts w:hint="eastAsia"/>
        </w:rPr>
        <w:t>）、会计学（</w:t>
      </w:r>
      <w:r>
        <w:rPr>
          <w:rFonts w:hint="eastAsia"/>
        </w:rPr>
        <w:t>8.33%</w:t>
      </w:r>
      <w:r>
        <w:rPr>
          <w:rFonts w:hint="eastAsia"/>
        </w:rPr>
        <w:t>）和会计学（国际会计）</w:t>
      </w:r>
      <w:r>
        <w:rPr>
          <w:rFonts w:hint="eastAsia"/>
        </w:rPr>
        <w:t>（</w:t>
      </w:r>
      <w:r>
        <w:rPr>
          <w:rFonts w:hint="eastAsia"/>
        </w:rPr>
        <w:t>7.14%</w:t>
      </w:r>
      <w:r>
        <w:rPr>
          <w:rFonts w:hint="eastAsia"/>
        </w:rPr>
        <w:t>）等。</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15</w:t>
      </w:r>
      <w:r>
        <w:fldChar w:fldCharType="end"/>
      </w:r>
      <w:r>
        <w:t xml:space="preserve">  2019</w:t>
      </w:r>
      <w:r>
        <w:rPr>
          <w:rFonts w:hint="eastAsia"/>
        </w:rPr>
        <w:t>届本科毕业生省内金融业和制造业行业就业主要专业支撑</w:t>
      </w:r>
    </w:p>
    <w:tbl>
      <w:tblPr>
        <w:tblW w:w="0" w:type="auto"/>
        <w:tblLook w:val="04A0" w:firstRow="1" w:lastRow="0" w:firstColumn="1" w:lastColumn="0" w:noHBand="0" w:noVBand="1"/>
      </w:tblPr>
      <w:tblGrid>
        <w:gridCol w:w="1129"/>
        <w:gridCol w:w="7167"/>
      </w:tblGrid>
      <w:tr w:rsidR="00603F28">
        <w:trPr>
          <w:trHeight w:val="300"/>
        </w:trPr>
        <w:tc>
          <w:tcPr>
            <w:tcW w:w="1129" w:type="dxa"/>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行业</w:t>
            </w:r>
          </w:p>
        </w:tc>
        <w:tc>
          <w:tcPr>
            <w:tcW w:w="7167"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行业主要专业支撑（前</w:t>
            </w:r>
            <w:r>
              <w:rPr>
                <w:rFonts w:ascii="黑体" w:eastAsia="黑体" w:hAnsi="黑体" w:cs="Calibri" w:hint="eastAsia"/>
                <w:b/>
                <w:bCs/>
                <w:color w:val="FFFFFF"/>
                <w:kern w:val="0"/>
                <w:sz w:val="18"/>
                <w:szCs w:val="18"/>
              </w:rPr>
              <w:t>5</w:t>
            </w:r>
            <w:r>
              <w:rPr>
                <w:rFonts w:ascii="黑体" w:eastAsia="黑体" w:hAnsi="黑体" w:cs="Calibri" w:hint="eastAsia"/>
                <w:b/>
                <w:bCs/>
                <w:color w:val="FFFFFF"/>
                <w:kern w:val="0"/>
                <w:sz w:val="18"/>
                <w:szCs w:val="18"/>
              </w:rPr>
              <w:t>）</w:t>
            </w:r>
          </w:p>
        </w:tc>
      </w:tr>
      <w:tr w:rsidR="00603F28">
        <w:trPr>
          <w:trHeight w:val="300"/>
        </w:trPr>
        <w:tc>
          <w:tcPr>
            <w:tcW w:w="1129"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金融业</w:t>
            </w:r>
          </w:p>
        </w:tc>
        <w:tc>
          <w:tcPr>
            <w:tcW w:w="7167"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w:t>
            </w:r>
            <w:r>
              <w:rPr>
                <w:rFonts w:ascii="黑体" w:eastAsia="黑体" w:hAnsi="黑体" w:cs="Calibri" w:hint="eastAsia"/>
                <w:kern w:val="0"/>
                <w:sz w:val="18"/>
                <w:szCs w:val="18"/>
              </w:rPr>
              <w:t>(17.50%),</w:t>
            </w:r>
            <w:r>
              <w:rPr>
                <w:rFonts w:ascii="黑体" w:eastAsia="黑体" w:hAnsi="黑体" w:cs="Calibri" w:hint="eastAsia"/>
                <w:kern w:val="0"/>
                <w:sz w:val="18"/>
                <w:szCs w:val="18"/>
              </w:rPr>
              <w:t>投资学</w:t>
            </w:r>
            <w:r>
              <w:rPr>
                <w:rFonts w:ascii="黑体" w:eastAsia="黑体" w:hAnsi="黑体" w:cs="Calibri" w:hint="eastAsia"/>
                <w:kern w:val="0"/>
                <w:sz w:val="18"/>
                <w:szCs w:val="18"/>
              </w:rPr>
              <w:t>(11.25%),</w:t>
            </w:r>
            <w:r>
              <w:rPr>
                <w:rFonts w:ascii="黑体" w:eastAsia="黑体" w:hAnsi="黑体" w:cs="Calibri" w:hint="eastAsia"/>
                <w:kern w:val="0"/>
                <w:sz w:val="18"/>
                <w:szCs w:val="18"/>
              </w:rPr>
              <w:t>软件工程</w:t>
            </w:r>
            <w:r>
              <w:rPr>
                <w:rFonts w:ascii="黑体" w:eastAsia="黑体" w:hAnsi="黑体" w:cs="Calibri" w:hint="eastAsia"/>
                <w:kern w:val="0"/>
                <w:sz w:val="18"/>
                <w:szCs w:val="18"/>
              </w:rPr>
              <w:t>(7.50%),</w:t>
            </w:r>
            <w:r>
              <w:rPr>
                <w:rFonts w:ascii="黑体" w:eastAsia="黑体" w:hAnsi="黑体" w:cs="Calibri" w:hint="eastAsia"/>
                <w:kern w:val="0"/>
                <w:sz w:val="18"/>
                <w:szCs w:val="18"/>
              </w:rPr>
              <w:t>税收学</w:t>
            </w:r>
            <w:r>
              <w:rPr>
                <w:rFonts w:ascii="黑体" w:eastAsia="黑体" w:hAnsi="黑体" w:cs="Calibri" w:hint="eastAsia"/>
                <w:kern w:val="0"/>
                <w:sz w:val="18"/>
                <w:szCs w:val="18"/>
              </w:rPr>
              <w:t>(6.25%),</w:t>
            </w:r>
            <w:r>
              <w:rPr>
                <w:rFonts w:ascii="黑体" w:eastAsia="黑体" w:hAnsi="黑体" w:cs="Calibri" w:hint="eastAsia"/>
                <w:kern w:val="0"/>
                <w:sz w:val="18"/>
                <w:szCs w:val="18"/>
              </w:rPr>
              <w:t>金融学</w:t>
            </w:r>
            <w:r>
              <w:rPr>
                <w:rFonts w:ascii="黑体" w:eastAsia="黑体" w:hAnsi="黑体" w:cs="Calibri" w:hint="eastAsia"/>
                <w:kern w:val="0"/>
                <w:sz w:val="18"/>
                <w:szCs w:val="18"/>
              </w:rPr>
              <w:t>(</w:t>
            </w:r>
            <w:r>
              <w:rPr>
                <w:rFonts w:ascii="黑体" w:eastAsia="黑体" w:hAnsi="黑体" w:cs="Calibri" w:hint="eastAsia"/>
                <w:kern w:val="0"/>
                <w:sz w:val="18"/>
                <w:szCs w:val="18"/>
              </w:rPr>
              <w:t>国际金融</w:t>
            </w:r>
            <w:r>
              <w:rPr>
                <w:rFonts w:ascii="黑体" w:eastAsia="黑体" w:hAnsi="黑体" w:cs="Calibri" w:hint="eastAsia"/>
                <w:kern w:val="0"/>
                <w:sz w:val="18"/>
                <w:szCs w:val="18"/>
              </w:rPr>
              <w:t>)</w:t>
            </w:r>
            <w:r>
              <w:rPr>
                <w:rFonts w:ascii="黑体" w:eastAsia="黑体" w:hAnsi="黑体" w:cs="Calibri" w:hint="eastAsia"/>
                <w:kern w:val="0"/>
                <w:sz w:val="18"/>
                <w:szCs w:val="18"/>
              </w:rPr>
              <w:t>（</w:t>
            </w:r>
            <w:r>
              <w:rPr>
                <w:rFonts w:ascii="黑体" w:eastAsia="黑体" w:hAnsi="黑体" w:cs="Calibri" w:hint="eastAsia"/>
                <w:kern w:val="0"/>
                <w:sz w:val="18"/>
                <w:szCs w:val="18"/>
              </w:rPr>
              <w:t>5.63%</w:t>
            </w:r>
            <w:r>
              <w:rPr>
                <w:rFonts w:ascii="黑体" w:eastAsia="黑体" w:hAnsi="黑体" w:cs="Calibri" w:hint="eastAsia"/>
                <w:kern w:val="0"/>
                <w:sz w:val="18"/>
                <w:szCs w:val="18"/>
              </w:rPr>
              <w:t>）</w:t>
            </w:r>
          </w:p>
        </w:tc>
      </w:tr>
      <w:tr w:rsidR="00603F28">
        <w:trPr>
          <w:trHeight w:val="300"/>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制造业</w:t>
            </w:r>
          </w:p>
        </w:tc>
        <w:tc>
          <w:tcPr>
            <w:tcW w:w="7167" w:type="dxa"/>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w:t>
            </w:r>
            <w:r>
              <w:rPr>
                <w:rFonts w:ascii="黑体" w:eastAsia="黑体" w:hAnsi="黑体" w:cs="Calibri" w:hint="eastAsia"/>
                <w:kern w:val="0"/>
                <w:sz w:val="18"/>
                <w:szCs w:val="18"/>
              </w:rPr>
              <w:t>(9.52%),</w:t>
            </w: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职教本科合作实验班</w:t>
            </w:r>
            <w:r>
              <w:rPr>
                <w:rFonts w:ascii="黑体" w:eastAsia="黑体" w:hAnsi="黑体" w:cs="Calibri" w:hint="eastAsia"/>
                <w:kern w:val="0"/>
                <w:sz w:val="18"/>
                <w:szCs w:val="18"/>
              </w:rPr>
              <w:t>)(8.33%),</w:t>
            </w:r>
            <w:r>
              <w:rPr>
                <w:rFonts w:ascii="黑体" w:eastAsia="黑体" w:hAnsi="黑体" w:cs="Calibri" w:hint="eastAsia"/>
                <w:kern w:val="0"/>
                <w:sz w:val="18"/>
                <w:szCs w:val="18"/>
              </w:rPr>
              <w:t>会计学</w:t>
            </w:r>
            <w:r>
              <w:rPr>
                <w:rFonts w:ascii="黑体" w:eastAsia="黑体" w:hAnsi="黑体" w:cs="Calibri" w:hint="eastAsia"/>
                <w:kern w:val="0"/>
                <w:sz w:val="18"/>
                <w:szCs w:val="18"/>
              </w:rPr>
              <w:t>(8.33%),</w:t>
            </w: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国际会计</w:t>
            </w:r>
            <w:r>
              <w:rPr>
                <w:rFonts w:ascii="黑体" w:eastAsia="黑体" w:hAnsi="黑体" w:cs="Calibri" w:hint="eastAsia"/>
                <w:kern w:val="0"/>
                <w:sz w:val="18"/>
                <w:szCs w:val="18"/>
              </w:rPr>
              <w:t>)(7.14%),</w:t>
            </w:r>
            <w:r>
              <w:rPr>
                <w:rFonts w:ascii="黑体" w:eastAsia="黑体" w:hAnsi="黑体" w:cs="Calibri" w:hint="eastAsia"/>
                <w:kern w:val="0"/>
                <w:sz w:val="18"/>
                <w:szCs w:val="18"/>
              </w:rPr>
              <w:t>会计学</w:t>
            </w:r>
            <w:r>
              <w:rPr>
                <w:rFonts w:ascii="黑体" w:eastAsia="黑体" w:hAnsi="黑体" w:cs="Calibri" w:hint="eastAsia"/>
                <w:kern w:val="0"/>
                <w:sz w:val="18"/>
                <w:szCs w:val="18"/>
              </w:rPr>
              <w:t>(</w:t>
            </w:r>
            <w:r>
              <w:rPr>
                <w:rFonts w:ascii="黑体" w:eastAsia="黑体" w:hAnsi="黑体" w:cs="Calibri" w:hint="eastAsia"/>
                <w:kern w:val="0"/>
                <w:sz w:val="18"/>
                <w:szCs w:val="18"/>
              </w:rPr>
              <w:t>注册会计师</w:t>
            </w:r>
            <w:r>
              <w:rPr>
                <w:rFonts w:ascii="黑体" w:eastAsia="黑体" w:hAnsi="黑体" w:cs="Calibri" w:hint="eastAsia"/>
                <w:kern w:val="0"/>
                <w:sz w:val="18"/>
                <w:szCs w:val="18"/>
              </w:rPr>
              <w:t>)(7.14%)</w:t>
            </w:r>
          </w:p>
        </w:tc>
      </w:tr>
    </w:tbl>
    <w:p w:rsidR="00603F28" w:rsidRDefault="00041260">
      <w:pPr>
        <w:pStyle w:val="4"/>
        <w:spacing w:before="120"/>
        <w:ind w:firstLine="482"/>
      </w:pPr>
      <w:r>
        <w:t>5.</w:t>
      </w:r>
      <w:r>
        <w:rPr>
          <w:rFonts w:hint="eastAsia"/>
        </w:rPr>
        <w:t>省内主要就业企业</w:t>
      </w:r>
    </w:p>
    <w:p w:rsidR="00603F28" w:rsidRDefault="00041260">
      <w:pPr>
        <w:ind w:firstLine="420"/>
      </w:pPr>
      <w:r>
        <w:rPr>
          <w:rFonts w:hint="eastAsia"/>
        </w:rPr>
        <w:t>2</w:t>
      </w:r>
      <w:r>
        <w:t>019</w:t>
      </w:r>
      <w:r>
        <w:rPr>
          <w:rFonts w:hint="eastAsia"/>
        </w:rPr>
        <w:t>届本科毕业生省内就业企业主要是中国联合网络通信有限公司江西省分公司（</w:t>
      </w:r>
      <w:r>
        <w:rPr>
          <w:rFonts w:hint="eastAsia"/>
        </w:rPr>
        <w:t>1</w:t>
      </w:r>
      <w:r>
        <w:t>8</w:t>
      </w:r>
      <w:r>
        <w:rPr>
          <w:rFonts w:hint="eastAsia"/>
        </w:rPr>
        <w:t>人）、中国建设银行股份有限公司江西省分行（</w:t>
      </w:r>
      <w:r>
        <w:rPr>
          <w:rFonts w:hint="eastAsia"/>
        </w:rPr>
        <w:t>1</w:t>
      </w:r>
      <w:r>
        <w:t>8</w:t>
      </w:r>
      <w:r>
        <w:rPr>
          <w:rFonts w:hint="eastAsia"/>
        </w:rPr>
        <w:t>人）、江西苏宁易购销售有限公司（</w:t>
      </w:r>
      <w:r>
        <w:rPr>
          <w:rFonts w:hint="eastAsia"/>
        </w:rPr>
        <w:t>1</w:t>
      </w:r>
      <w:r>
        <w:t>0</w:t>
      </w:r>
      <w:r>
        <w:rPr>
          <w:rFonts w:hint="eastAsia"/>
        </w:rPr>
        <w:t>人）和中国平安财产保险股份有限公司江西分公司（</w:t>
      </w:r>
      <w:r>
        <w:rPr>
          <w:rFonts w:hint="eastAsia"/>
        </w:rPr>
        <w:t>1</w:t>
      </w:r>
      <w:r>
        <w:t>0</w:t>
      </w:r>
      <w:r>
        <w:rPr>
          <w:rFonts w:hint="eastAsia"/>
        </w:rPr>
        <w:t>人）等。</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16</w:t>
      </w:r>
      <w:r>
        <w:fldChar w:fldCharType="end"/>
      </w:r>
      <w:r>
        <w:t xml:space="preserve">  2019</w:t>
      </w:r>
      <w:r>
        <w:rPr>
          <w:rFonts w:hint="eastAsia"/>
        </w:rPr>
        <w:t>届本科毕业生省内就业企业（人数前</w:t>
      </w:r>
      <w:r>
        <w:rPr>
          <w:rFonts w:hint="eastAsia"/>
        </w:rPr>
        <w:t>1</w:t>
      </w:r>
      <w:r>
        <w:t>0</w:t>
      </w:r>
      <w:r>
        <w:rPr>
          <w:rFonts w:hint="eastAsia"/>
        </w:rPr>
        <w:t>）</w:t>
      </w:r>
    </w:p>
    <w:tbl>
      <w:tblPr>
        <w:tblW w:w="5000" w:type="pct"/>
        <w:tblLook w:val="04A0" w:firstRow="1" w:lastRow="0" w:firstColumn="1" w:lastColumn="0" w:noHBand="0" w:noVBand="1"/>
      </w:tblPr>
      <w:tblGrid>
        <w:gridCol w:w="3712"/>
        <w:gridCol w:w="3675"/>
        <w:gridCol w:w="909"/>
      </w:tblGrid>
      <w:tr w:rsidR="00603F28">
        <w:trPr>
          <w:trHeight w:val="300"/>
          <w:tblHeader/>
        </w:trPr>
        <w:tc>
          <w:tcPr>
            <w:tcW w:w="2237"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单位名称</w:t>
            </w:r>
          </w:p>
        </w:tc>
        <w:tc>
          <w:tcPr>
            <w:tcW w:w="221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行业</w:t>
            </w:r>
          </w:p>
        </w:tc>
        <w:tc>
          <w:tcPr>
            <w:tcW w:w="548"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r>
      <w:tr w:rsidR="00603F28">
        <w:trPr>
          <w:trHeight w:val="300"/>
        </w:trPr>
        <w:tc>
          <w:tcPr>
            <w:tcW w:w="223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中国联合网络通信有限公司江西省分公司</w:t>
            </w:r>
          </w:p>
        </w:tc>
        <w:tc>
          <w:tcPr>
            <w:tcW w:w="221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信息传输、软件和信息技术服务业</w:t>
            </w:r>
          </w:p>
        </w:tc>
        <w:tc>
          <w:tcPr>
            <w:tcW w:w="5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r>
      <w:tr w:rsidR="00603F28">
        <w:trPr>
          <w:trHeight w:val="300"/>
        </w:trPr>
        <w:tc>
          <w:tcPr>
            <w:tcW w:w="223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中国建设银行股份有限公司江西省分行</w:t>
            </w:r>
          </w:p>
        </w:tc>
        <w:tc>
          <w:tcPr>
            <w:tcW w:w="221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r>
      <w:tr w:rsidR="00603F28">
        <w:trPr>
          <w:trHeight w:val="300"/>
        </w:trPr>
        <w:tc>
          <w:tcPr>
            <w:tcW w:w="223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江西苏宁易购销售有限公司</w:t>
            </w:r>
          </w:p>
        </w:tc>
        <w:tc>
          <w:tcPr>
            <w:tcW w:w="221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批发和零售业</w:t>
            </w:r>
          </w:p>
        </w:tc>
        <w:tc>
          <w:tcPr>
            <w:tcW w:w="5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r>
      <w:tr w:rsidR="00603F28">
        <w:trPr>
          <w:trHeight w:val="300"/>
        </w:trPr>
        <w:tc>
          <w:tcPr>
            <w:tcW w:w="223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中国平安财产保险股份有限公司江西分公司</w:t>
            </w:r>
          </w:p>
        </w:tc>
        <w:tc>
          <w:tcPr>
            <w:tcW w:w="221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r>
      <w:tr w:rsidR="00603F28">
        <w:trPr>
          <w:trHeight w:val="300"/>
        </w:trPr>
        <w:tc>
          <w:tcPr>
            <w:tcW w:w="223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中国农业银行股份有限公司江西省分行</w:t>
            </w:r>
          </w:p>
        </w:tc>
        <w:tc>
          <w:tcPr>
            <w:tcW w:w="221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r>
      <w:tr w:rsidR="00603F28">
        <w:trPr>
          <w:trHeight w:val="300"/>
        </w:trPr>
        <w:tc>
          <w:tcPr>
            <w:tcW w:w="223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吉安市立讯射频科技股份有限公司</w:t>
            </w:r>
          </w:p>
        </w:tc>
        <w:tc>
          <w:tcPr>
            <w:tcW w:w="221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信息传输、软件和信息技术服务业</w:t>
            </w:r>
          </w:p>
        </w:tc>
        <w:tc>
          <w:tcPr>
            <w:tcW w:w="5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223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国盛证券有限责任公司</w:t>
            </w:r>
          </w:p>
        </w:tc>
        <w:tc>
          <w:tcPr>
            <w:tcW w:w="221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223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中国工商银行股份有限公司江西省分行</w:t>
            </w:r>
          </w:p>
        </w:tc>
        <w:tc>
          <w:tcPr>
            <w:tcW w:w="221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223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中国银行股份有限公司江西省分行</w:t>
            </w:r>
          </w:p>
        </w:tc>
        <w:tc>
          <w:tcPr>
            <w:tcW w:w="221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223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广发银行股份有限公司南昌分行</w:t>
            </w:r>
          </w:p>
        </w:tc>
        <w:tc>
          <w:tcPr>
            <w:tcW w:w="221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bl>
    <w:p w:rsidR="00603F28" w:rsidRDefault="00041260">
      <w:pPr>
        <w:pStyle w:val="4"/>
        <w:spacing w:before="120"/>
        <w:ind w:firstLine="482"/>
      </w:pPr>
      <w:r>
        <w:t>6.</w:t>
      </w:r>
      <w:r>
        <w:rPr>
          <w:rFonts w:hint="eastAsia"/>
        </w:rPr>
        <w:t>省内优势重点产业就业情况</w:t>
      </w:r>
    </w:p>
    <w:p w:rsidR="00603F28" w:rsidRDefault="00041260">
      <w:pPr>
        <w:ind w:firstLineChars="200" w:firstLine="420"/>
      </w:pPr>
      <w:r>
        <w:rPr>
          <w:rFonts w:hint="eastAsia"/>
        </w:rPr>
        <w:t>江西省六大优势重点产业主要为电子信息产业、装备制造产业、航空产业、新材料产业、新能源产业和中医药产业。</w:t>
      </w:r>
      <w:r>
        <w:rPr>
          <w:rFonts w:hint="eastAsia"/>
        </w:rPr>
        <w:t>2</w:t>
      </w:r>
      <w:r>
        <w:t>019</w:t>
      </w:r>
      <w:r>
        <w:rPr>
          <w:rFonts w:hint="eastAsia"/>
        </w:rPr>
        <w:t>届本科毕业生在江西省优势重点产业就业的人数为</w:t>
      </w:r>
      <w:r>
        <w:t>106</w:t>
      </w:r>
      <w:r>
        <w:rPr>
          <w:rFonts w:hint="eastAsia"/>
        </w:rPr>
        <w:t>人，占通过各种录用形式落实就业单位人数的</w:t>
      </w:r>
      <w:r>
        <w:t>4.02</w:t>
      </w:r>
      <w:r>
        <w:rPr>
          <w:rFonts w:hint="eastAsia"/>
        </w:rPr>
        <w:t>%</w:t>
      </w:r>
      <w:r>
        <w:rPr>
          <w:rFonts w:hint="eastAsia"/>
        </w:rPr>
        <w:t>，主要以电子信息产业（</w:t>
      </w:r>
      <w:r>
        <w:t>87</w:t>
      </w:r>
      <w:r>
        <w:rPr>
          <w:rFonts w:hint="eastAsia"/>
        </w:rPr>
        <w:t>人，占比</w:t>
      </w:r>
      <w:r>
        <w:t>82.08</w:t>
      </w:r>
      <w:r>
        <w:rPr>
          <w:rFonts w:hint="eastAsia"/>
        </w:rPr>
        <w:t>%</w:t>
      </w:r>
      <w:r>
        <w:rPr>
          <w:rFonts w:hint="eastAsia"/>
        </w:rPr>
        <w:t>）和装备制造产业（</w:t>
      </w:r>
      <w:r>
        <w:t>11</w:t>
      </w:r>
      <w:r>
        <w:rPr>
          <w:rFonts w:hint="eastAsia"/>
        </w:rPr>
        <w:t>人，占比</w:t>
      </w:r>
      <w:r>
        <w:t>10.38</w:t>
      </w:r>
      <w:r>
        <w:rPr>
          <w:rFonts w:hint="eastAsia"/>
        </w:rPr>
        <w:t>%</w:t>
      </w:r>
      <w:r>
        <w:rPr>
          <w:rFonts w:hint="eastAsia"/>
        </w:rPr>
        <w:t>）就业为主。</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17</w:t>
      </w:r>
      <w:r>
        <w:fldChar w:fldCharType="end"/>
      </w:r>
      <w:r>
        <w:t xml:space="preserve">  2019</w:t>
      </w:r>
      <w:r>
        <w:t>届</w:t>
      </w:r>
      <w:r>
        <w:rPr>
          <w:rFonts w:hint="eastAsia"/>
        </w:rPr>
        <w:t>本科</w:t>
      </w:r>
      <w:r>
        <w:t>毕业生优势</w:t>
      </w:r>
      <w:r>
        <w:rPr>
          <w:rFonts w:hint="eastAsia"/>
        </w:rPr>
        <w:t>重点</w:t>
      </w:r>
      <w:r>
        <w:t>产业就业情况</w:t>
      </w:r>
    </w:p>
    <w:tbl>
      <w:tblPr>
        <w:tblW w:w="5000" w:type="pct"/>
        <w:tblLook w:val="04A0" w:firstRow="1" w:lastRow="0" w:firstColumn="1" w:lastColumn="0" w:noHBand="0" w:noVBand="1"/>
      </w:tblPr>
      <w:tblGrid>
        <w:gridCol w:w="1494"/>
        <w:gridCol w:w="1494"/>
        <w:gridCol w:w="2677"/>
        <w:gridCol w:w="2631"/>
      </w:tblGrid>
      <w:tr w:rsidR="00603F28">
        <w:trPr>
          <w:trHeight w:val="300"/>
          <w:tblHeader/>
        </w:trPr>
        <w:tc>
          <w:tcPr>
            <w:tcW w:w="900"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优势产业</w:t>
            </w:r>
          </w:p>
        </w:tc>
        <w:tc>
          <w:tcPr>
            <w:tcW w:w="900"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161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占优势产业就业人数比例</w:t>
            </w:r>
          </w:p>
        </w:tc>
        <w:tc>
          <w:tcPr>
            <w:tcW w:w="158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占已落实就业单位人数比例</w:t>
            </w:r>
          </w:p>
        </w:tc>
      </w:tr>
      <w:tr w:rsidR="00603F28">
        <w:trPr>
          <w:trHeight w:val="300"/>
        </w:trPr>
        <w:tc>
          <w:tcPr>
            <w:tcW w:w="90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电子信息产业</w:t>
            </w:r>
          </w:p>
        </w:tc>
        <w:tc>
          <w:tcPr>
            <w:tcW w:w="9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w:t>
            </w:r>
          </w:p>
        </w:tc>
        <w:tc>
          <w:tcPr>
            <w:tcW w:w="1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82.08%</w:t>
            </w:r>
          </w:p>
        </w:tc>
        <w:tc>
          <w:tcPr>
            <w:tcW w:w="158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3.30%</w:t>
            </w:r>
          </w:p>
        </w:tc>
      </w:tr>
      <w:tr w:rsidR="00603F28">
        <w:trPr>
          <w:trHeight w:val="300"/>
        </w:trPr>
        <w:tc>
          <w:tcPr>
            <w:tcW w:w="90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装备制造产业</w:t>
            </w:r>
          </w:p>
        </w:tc>
        <w:tc>
          <w:tcPr>
            <w:tcW w:w="9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1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10.38%</w:t>
            </w:r>
          </w:p>
        </w:tc>
        <w:tc>
          <w:tcPr>
            <w:tcW w:w="158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0.42%</w:t>
            </w:r>
          </w:p>
        </w:tc>
      </w:tr>
      <w:tr w:rsidR="00603F28">
        <w:trPr>
          <w:trHeight w:val="300"/>
        </w:trPr>
        <w:tc>
          <w:tcPr>
            <w:tcW w:w="90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航空产业</w:t>
            </w:r>
          </w:p>
        </w:tc>
        <w:tc>
          <w:tcPr>
            <w:tcW w:w="9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1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3.77%</w:t>
            </w:r>
          </w:p>
        </w:tc>
        <w:tc>
          <w:tcPr>
            <w:tcW w:w="158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0.15%</w:t>
            </w:r>
          </w:p>
        </w:tc>
      </w:tr>
      <w:tr w:rsidR="00603F28">
        <w:trPr>
          <w:trHeight w:val="300"/>
        </w:trPr>
        <w:tc>
          <w:tcPr>
            <w:tcW w:w="90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新能源产业</w:t>
            </w:r>
          </w:p>
        </w:tc>
        <w:tc>
          <w:tcPr>
            <w:tcW w:w="9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1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2.83%</w:t>
            </w:r>
          </w:p>
        </w:tc>
        <w:tc>
          <w:tcPr>
            <w:tcW w:w="158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0.11%</w:t>
            </w:r>
          </w:p>
        </w:tc>
      </w:tr>
      <w:tr w:rsidR="00603F28">
        <w:trPr>
          <w:trHeight w:val="300"/>
        </w:trPr>
        <w:tc>
          <w:tcPr>
            <w:tcW w:w="90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中医药产业</w:t>
            </w:r>
          </w:p>
        </w:tc>
        <w:tc>
          <w:tcPr>
            <w:tcW w:w="9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1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0.94%</w:t>
            </w:r>
          </w:p>
        </w:tc>
        <w:tc>
          <w:tcPr>
            <w:tcW w:w="158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0.04%</w:t>
            </w:r>
          </w:p>
        </w:tc>
      </w:tr>
      <w:tr w:rsidR="00603F28">
        <w:trPr>
          <w:trHeight w:val="300"/>
        </w:trPr>
        <w:tc>
          <w:tcPr>
            <w:tcW w:w="900"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900"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106</w:t>
            </w:r>
          </w:p>
        </w:tc>
        <w:tc>
          <w:tcPr>
            <w:tcW w:w="1613"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c>
          <w:tcPr>
            <w:tcW w:w="1586"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4.02%</w:t>
            </w:r>
          </w:p>
        </w:tc>
      </w:tr>
    </w:tbl>
    <w:p w:rsidR="00603F28" w:rsidRDefault="00041260">
      <w:pPr>
        <w:ind w:firstLineChars="200" w:firstLine="420"/>
      </w:pPr>
      <w:r>
        <w:rPr>
          <w:rFonts w:hint="eastAsia"/>
        </w:rPr>
        <w:t>2</w:t>
      </w:r>
      <w:r>
        <w:t>019</w:t>
      </w:r>
      <w:r>
        <w:rPr>
          <w:rFonts w:hint="eastAsia"/>
        </w:rPr>
        <w:t>届本科毕业生在电子信息产业就业的企业主要是中国联合网络通信有限公司江西省分公司（</w:t>
      </w:r>
      <w:r>
        <w:rPr>
          <w:rFonts w:hint="eastAsia"/>
        </w:rPr>
        <w:t>1</w:t>
      </w:r>
      <w:r>
        <w:t>8</w:t>
      </w:r>
      <w:r>
        <w:rPr>
          <w:rFonts w:hint="eastAsia"/>
        </w:rPr>
        <w:t>人）和吉安市立讯射频科技股份有限公司（</w:t>
      </w:r>
      <w:r>
        <w:rPr>
          <w:rFonts w:hint="eastAsia"/>
        </w:rPr>
        <w:t>5</w:t>
      </w:r>
      <w:r>
        <w:rPr>
          <w:rFonts w:hint="eastAsia"/>
        </w:rPr>
        <w:t>人）；在航空产业就业的企业主要是江西航空有限公司（</w:t>
      </w:r>
      <w:r>
        <w:rPr>
          <w:rFonts w:hint="eastAsia"/>
        </w:rPr>
        <w:t>4</w:t>
      </w:r>
      <w:r>
        <w:rPr>
          <w:rFonts w:hint="eastAsia"/>
        </w:rPr>
        <w:t>人）；在装备制造产业主要就业企业是晶科电力科技股份有限公司（</w:t>
      </w:r>
      <w:r>
        <w:rPr>
          <w:rFonts w:hint="eastAsia"/>
        </w:rPr>
        <w:t>2</w:t>
      </w:r>
      <w:r>
        <w:rPr>
          <w:rFonts w:hint="eastAsia"/>
        </w:rPr>
        <w:t>人）；在新能源产业主要就业企业是核工业二七</w:t>
      </w:r>
      <w:r>
        <w:rPr>
          <w:rFonts w:hint="eastAsia"/>
        </w:rPr>
        <w:t>0</w:t>
      </w:r>
      <w:r>
        <w:rPr>
          <w:rFonts w:hint="eastAsia"/>
        </w:rPr>
        <w:t>研究所等；在中医药产业主要就业企业为江西天琢药业有限公司（</w:t>
      </w:r>
      <w:r>
        <w:rPr>
          <w:rFonts w:hint="eastAsia"/>
        </w:rPr>
        <w:t>1</w:t>
      </w:r>
      <w:r>
        <w:rPr>
          <w:rFonts w:hint="eastAsia"/>
        </w:rPr>
        <w:t>人）。</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18</w:t>
      </w:r>
      <w:r>
        <w:fldChar w:fldCharType="end"/>
      </w:r>
      <w:r>
        <w:t xml:space="preserve">  2019</w:t>
      </w:r>
      <w:r>
        <w:t>届</w:t>
      </w:r>
      <w:r>
        <w:rPr>
          <w:rFonts w:hint="eastAsia"/>
        </w:rPr>
        <w:t>本科</w:t>
      </w:r>
      <w:r>
        <w:t>毕业生优势</w:t>
      </w:r>
      <w:r>
        <w:rPr>
          <w:rFonts w:hint="eastAsia"/>
        </w:rPr>
        <w:t>重点</w:t>
      </w:r>
      <w:r>
        <w:t>产业</w:t>
      </w:r>
      <w:r>
        <w:rPr>
          <w:rFonts w:hint="eastAsia"/>
        </w:rPr>
        <w:t>主要就业企业（明细）</w:t>
      </w:r>
    </w:p>
    <w:tbl>
      <w:tblPr>
        <w:tblW w:w="8220" w:type="dxa"/>
        <w:tblInd w:w="-5" w:type="dxa"/>
        <w:tblLook w:val="04A0" w:firstRow="1" w:lastRow="0" w:firstColumn="1" w:lastColumn="0" w:noHBand="0" w:noVBand="1"/>
      </w:tblPr>
      <w:tblGrid>
        <w:gridCol w:w="3520"/>
        <w:gridCol w:w="4120"/>
        <w:gridCol w:w="580"/>
      </w:tblGrid>
      <w:tr w:rsidR="00603F28">
        <w:trPr>
          <w:trHeight w:val="300"/>
          <w:tblHeader/>
        </w:trPr>
        <w:tc>
          <w:tcPr>
            <w:tcW w:w="3520" w:type="dxa"/>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单位行业</w:t>
            </w:r>
          </w:p>
        </w:tc>
        <w:tc>
          <w:tcPr>
            <w:tcW w:w="4120" w:type="dxa"/>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单位名称</w:t>
            </w:r>
          </w:p>
        </w:tc>
        <w:tc>
          <w:tcPr>
            <w:tcW w:w="580" w:type="dxa"/>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大型设备装备制造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江西省华瑞特卫智能安防有限公司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晶科电力科技股份有限公司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江西省景龙电力工程有限公司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晶科能源有限公司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浮梁县昌源电力发展有限责任公司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永新县博硕电子有限公司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电气机械和器材制造业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江西投资发展公司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电信、广播电视和卫星传输服务</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中国联合网络通信有限公司江西省分公司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电信、广播电视和卫星传输服务</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中国电信股份有限公司赣州分公司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电信、广播电视和卫星传输服务</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中国电信股份有限公司吉安分公司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航空运输服务业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江西航空有限公司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江西洲际智能科技有限公司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南昌华勤电子科技有限公司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泰豪集团有限公司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同方电子科技有限公司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龙南骏亚精密电路有限公司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抚州市双菱磁性材料有限公司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吉安市立讯射频科技股份有限公司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泰豪电源技术有限公司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中国联合网络通信有限公司南昌分公司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计算机、通信和其他电子器件设备制造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南昌欧菲生物识别技术有限公司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吉安市立讯射频科技股份有限公司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江西跃山科技有限责任公司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九江市金瑞信息技术有限公司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北京微应软件科技有限公司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江西沃木信息技术有限公司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南昌光耀信息技术有限公司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江西腾王科技有限公司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江西博微新技术有限公司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深圳市众镐网联数据科技有限公司南昌分公司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中国联合网络通信有限公司江西省分公司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南昌翔达科技有限公司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江西广骏科技发展股份有限公司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江西融合科技有限责任公司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南昌市锋旭网络科技有限公司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南昌亿腾电子商务有限公司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南昌秦泰企业管理咨询有限责任公司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江西时励软件技术服务有限公司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上饶市诺珂信息技术有限公司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江西乐讯科技有限公司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南昌鼎盛邦域工程管理服务有限责任公司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南昌同兴达精密光电有限公司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南昌春秋通信技术工程有限公司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江西威特科技有限公司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南昌邦侬企业管理咨询有限责任公司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江西泰捷智能新一代信息技术有限公司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中国建设银行股份有限公司江西省分行</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江西三棵松科技有限公司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上饶市桔籽科技有限公司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江西联创精密机电有限公司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南昌泽诺信息科技有限公司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江西剑学科技有限公司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唐人通信技术服务股份有限公司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江西沸点科技有限公司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江西友云信息技术有限公司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南昌市天虹商场有限公司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江西易融通科技有限公司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北方联创通信有限公司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江西中至科技有限公司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软件和信息技术服务业</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江西云智汇文化战略咨询管理有限公司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铁路运输设备制造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江西翔泽物流有限公司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铁路运输设备制造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抚州市鑫叶轴承有限公司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铁路运输设备制造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江西洪都航空工业股份有限公司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新能源制造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江西中煤建设集团有限公司</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新能源制造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核工业二七</w:t>
            </w:r>
            <w:r>
              <w:rPr>
                <w:rFonts w:ascii="黑体" w:eastAsia="黑体" w:hAnsi="黑体" w:cs="Calibri" w:hint="eastAsia"/>
                <w:kern w:val="0"/>
                <w:sz w:val="18"/>
                <w:szCs w:val="18"/>
              </w:rPr>
              <w:t>0</w:t>
            </w:r>
            <w:r>
              <w:rPr>
                <w:rFonts w:ascii="黑体" w:eastAsia="黑体" w:hAnsi="黑体" w:cs="Calibri" w:hint="eastAsia"/>
                <w:kern w:val="0"/>
                <w:sz w:val="18"/>
                <w:szCs w:val="18"/>
              </w:rPr>
              <w:t>研究所</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新能源制造</w:t>
            </w:r>
          </w:p>
        </w:tc>
        <w:tc>
          <w:tcPr>
            <w:tcW w:w="412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核工业赣州工程勘察院</w:t>
            </w:r>
          </w:p>
        </w:tc>
        <w:tc>
          <w:tcPr>
            <w:tcW w:w="580"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520"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中药药品制品制造</w:t>
            </w:r>
          </w:p>
        </w:tc>
        <w:tc>
          <w:tcPr>
            <w:tcW w:w="412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江西天琢药业有限公司</w:t>
            </w:r>
          </w:p>
        </w:tc>
        <w:tc>
          <w:tcPr>
            <w:tcW w:w="580"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7640" w:type="dxa"/>
            <w:gridSpan w:val="2"/>
            <w:tcBorders>
              <w:top w:val="single" w:sz="4" w:space="0" w:color="auto"/>
              <w:left w:val="single" w:sz="4" w:space="0" w:color="auto"/>
              <w:bottom w:val="single" w:sz="4" w:space="0" w:color="auto"/>
              <w:right w:val="single" w:sz="4" w:space="0" w:color="000000"/>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580" w:type="dxa"/>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106</w:t>
            </w:r>
          </w:p>
        </w:tc>
      </w:tr>
    </w:tbl>
    <w:p w:rsidR="00603F28" w:rsidRDefault="00041260">
      <w:pPr>
        <w:pStyle w:val="2"/>
      </w:pPr>
      <w:bookmarkStart w:id="41" w:name="_Toc27642605"/>
      <w:bookmarkStart w:id="42" w:name="_Toc534724590"/>
      <w:bookmarkStart w:id="43" w:name="_Toc2511_WPSOffice_Level2"/>
      <w:r>
        <w:rPr>
          <w:rFonts w:hint="eastAsia"/>
          <w:color w:val="000000" w:themeColor="text1"/>
        </w:rPr>
        <w:t>四、</w:t>
      </w:r>
      <w:r>
        <w:rPr>
          <w:rFonts w:hint="eastAsia"/>
        </w:rPr>
        <w:t>毕业生自主创业情况</w:t>
      </w:r>
      <w:bookmarkEnd w:id="41"/>
      <w:bookmarkEnd w:id="42"/>
      <w:bookmarkEnd w:id="43"/>
    </w:p>
    <w:p w:rsidR="00603F28" w:rsidRDefault="00041260">
      <w:pPr>
        <w:pStyle w:val="3"/>
        <w:spacing w:before="120"/>
      </w:pPr>
      <w:bookmarkStart w:id="44" w:name="_Toc27642606"/>
      <w:bookmarkStart w:id="45" w:name="_Toc1002_WPSOffice_Level3"/>
      <w:bookmarkStart w:id="46" w:name="_Toc530647103"/>
      <w:bookmarkStart w:id="47" w:name="_Toc534724591"/>
      <w:r>
        <w:t>（一）</w:t>
      </w:r>
      <w:r>
        <w:rPr>
          <w:rFonts w:hint="eastAsia"/>
        </w:rPr>
        <w:t>毕业生自主创业行业</w:t>
      </w:r>
      <w:bookmarkEnd w:id="44"/>
      <w:bookmarkEnd w:id="45"/>
      <w:bookmarkEnd w:id="46"/>
      <w:bookmarkEnd w:id="47"/>
    </w:p>
    <w:p w:rsidR="00603F28" w:rsidRDefault="00041260">
      <w:pPr>
        <w:ind w:firstLineChars="200" w:firstLine="420"/>
      </w:pPr>
      <w:r>
        <w:rPr>
          <w:rFonts w:hint="eastAsia"/>
        </w:rPr>
        <w:t>2</w:t>
      </w:r>
      <w:r>
        <w:t>019</w:t>
      </w:r>
      <w:r>
        <w:rPr>
          <w:rFonts w:hint="eastAsia"/>
        </w:rPr>
        <w:t>届本科毕业生自主创业人数为</w:t>
      </w:r>
      <w:r>
        <w:rPr>
          <w:rFonts w:hint="eastAsia"/>
        </w:rPr>
        <w:t>24</w:t>
      </w:r>
      <w:r>
        <w:rPr>
          <w:rFonts w:hint="eastAsia"/>
        </w:rPr>
        <w:t>人，占毕业生总人数的</w:t>
      </w:r>
      <w:r>
        <w:rPr>
          <w:rFonts w:hint="eastAsia"/>
        </w:rPr>
        <w:t>0</w:t>
      </w:r>
      <w:r>
        <w:t>.47</w:t>
      </w:r>
      <w:r>
        <w:rPr>
          <w:rFonts w:hint="eastAsia"/>
        </w:rPr>
        <w:t>%</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19</w:t>
      </w:r>
      <w:r>
        <w:fldChar w:fldCharType="end"/>
      </w:r>
      <w:r>
        <w:t xml:space="preserve">  2019</w:t>
      </w:r>
      <w:r>
        <w:rPr>
          <w:rFonts w:hint="eastAsia"/>
        </w:rPr>
        <w:t>届本科毕业生自主创业行业</w:t>
      </w:r>
    </w:p>
    <w:tbl>
      <w:tblPr>
        <w:tblW w:w="5000" w:type="pct"/>
        <w:tblLook w:val="04A0" w:firstRow="1" w:lastRow="0" w:firstColumn="1" w:lastColumn="0" w:noHBand="0" w:noVBand="1"/>
      </w:tblPr>
      <w:tblGrid>
        <w:gridCol w:w="1838"/>
        <w:gridCol w:w="3828"/>
        <w:gridCol w:w="2052"/>
        <w:gridCol w:w="578"/>
      </w:tblGrid>
      <w:tr w:rsidR="00603F28">
        <w:trPr>
          <w:trHeight w:val="285"/>
          <w:tblHeader/>
        </w:trPr>
        <w:tc>
          <w:tcPr>
            <w:tcW w:w="1108"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学院</w:t>
            </w:r>
          </w:p>
        </w:tc>
        <w:tc>
          <w:tcPr>
            <w:tcW w:w="230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单位名称</w:t>
            </w:r>
          </w:p>
        </w:tc>
        <w:tc>
          <w:tcPr>
            <w:tcW w:w="123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所属行业</w:t>
            </w:r>
          </w:p>
        </w:tc>
        <w:tc>
          <w:tcPr>
            <w:tcW w:w="34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r>
      <w:tr w:rsidR="00603F28">
        <w:trPr>
          <w:trHeight w:val="285"/>
        </w:trPr>
        <w:tc>
          <w:tcPr>
            <w:tcW w:w="1108"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法学院</w:t>
            </w: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南昌经济技术开发区卡丝化妆品店</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居民服务业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南昌长庚文化传媒有限责任公司</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其他服务业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val="restar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工商管理学院</w:t>
            </w: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南昌经济技术开发区星空微客电子产品经营部</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零售业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南昌经济技术开发区知道做到烘焙中心</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零售业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宜春市匠心装饰有限公司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建筑安装业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国际学院</w:t>
            </w: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长沙市雨花区玄景书法屋</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文化艺术业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会计学院</w:t>
            </w: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南昌静澜商贸有限公司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经济学院</w:t>
            </w: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德联宏图（新罗）财务咨询有限公司</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资本市场服务</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旅游与城市管理学院</w:t>
            </w: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南昌微界文化传媒有限公司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文化艺术业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285"/>
        </w:trPr>
        <w:tc>
          <w:tcPr>
            <w:tcW w:w="1108" w:type="pc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人文学院</w:t>
            </w: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南昌第六感文化传媒有限公司</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其他服务业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285"/>
        </w:trPr>
        <w:tc>
          <w:tcPr>
            <w:tcW w:w="1108" w:type="pct"/>
            <w:vMerge w:val="restar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软件与物联网工程学院</w:t>
            </w: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江西蓝图商务信息咨询有限公司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其他服务业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江西陌梦教育科技有限公司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软件和信息技术服务业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val="restart"/>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体育学院</w:t>
            </w: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南昌爱果鲜农产品有限公司</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南昌文森企业管理咨询有限公司</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其他服务业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西安国际港务区永兴胶带厂</w:t>
            </w:r>
          </w:p>
        </w:tc>
        <w:tc>
          <w:tcPr>
            <w:tcW w:w="1237" w:type="pct"/>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批发业</w:t>
            </w:r>
          </w:p>
        </w:tc>
        <w:tc>
          <w:tcPr>
            <w:tcW w:w="34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val="restart"/>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lastRenderedPageBreak/>
              <w:t>艺术学院</w:t>
            </w: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帮客三维设计</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专业技术服务业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江西玉时赢文化传媒有限公司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文化艺术业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鸠江区艾云轩食品经营部</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其他服务业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1108" w:type="pct"/>
            <w:vMerge/>
            <w:tcBorders>
              <w:top w:val="nil"/>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宋体"/>
                <w:color w:val="000000"/>
                <w:kern w:val="0"/>
                <w:sz w:val="18"/>
                <w:szCs w:val="18"/>
              </w:rPr>
            </w:pPr>
          </w:p>
        </w:tc>
        <w:tc>
          <w:tcPr>
            <w:tcW w:w="230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color w:val="000000"/>
                <w:kern w:val="0"/>
                <w:sz w:val="18"/>
                <w:szCs w:val="18"/>
              </w:rPr>
            </w:pPr>
            <w:r>
              <w:rPr>
                <w:rFonts w:ascii="黑体" w:eastAsia="黑体" w:hAnsi="黑体" w:cs="宋体" w:hint="eastAsia"/>
                <w:color w:val="000000"/>
                <w:kern w:val="0"/>
                <w:sz w:val="18"/>
                <w:szCs w:val="18"/>
              </w:rPr>
              <w:t>南昌市道同文化传播有限公司</w:t>
            </w:r>
          </w:p>
        </w:tc>
        <w:tc>
          <w:tcPr>
            <w:tcW w:w="1237" w:type="pct"/>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文化艺术业</w:t>
            </w:r>
          </w:p>
        </w:tc>
        <w:tc>
          <w:tcPr>
            <w:tcW w:w="34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285"/>
        </w:trPr>
        <w:tc>
          <w:tcPr>
            <w:tcW w:w="4652" w:type="pct"/>
            <w:gridSpan w:val="3"/>
            <w:tcBorders>
              <w:top w:val="single" w:sz="4" w:space="0" w:color="auto"/>
              <w:left w:val="single" w:sz="4" w:space="0" w:color="auto"/>
              <w:bottom w:val="single" w:sz="4" w:space="0" w:color="auto"/>
              <w:right w:val="single" w:sz="4" w:space="0" w:color="auto"/>
            </w:tcBorders>
            <w:shd w:val="clear" w:color="DDEBF7" w:fill="D00E2C"/>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348"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24</w:t>
            </w:r>
          </w:p>
        </w:tc>
      </w:tr>
    </w:tbl>
    <w:p w:rsidR="00603F28" w:rsidRDefault="00041260">
      <w:pPr>
        <w:pStyle w:val="3"/>
        <w:spacing w:before="120"/>
      </w:pPr>
      <w:bookmarkStart w:id="48" w:name="_Toc27642607"/>
      <w:r>
        <w:t>（</w:t>
      </w:r>
      <w:r>
        <w:rPr>
          <w:rFonts w:hint="eastAsia"/>
        </w:rPr>
        <w:t>二</w:t>
      </w:r>
      <w:r>
        <w:t>）</w:t>
      </w:r>
      <w:r>
        <w:rPr>
          <w:rFonts w:hint="eastAsia"/>
        </w:rPr>
        <w:t>毕业生自主创业地区</w:t>
      </w:r>
      <w:bookmarkEnd w:id="48"/>
    </w:p>
    <w:p w:rsidR="00603F28" w:rsidRDefault="00041260">
      <w:pPr>
        <w:ind w:firstLineChars="200" w:firstLine="420"/>
      </w:pPr>
      <w:r>
        <w:rPr>
          <w:rFonts w:hint="eastAsia"/>
        </w:rPr>
        <w:t>2</w:t>
      </w:r>
      <w:r>
        <w:t>019</w:t>
      </w:r>
      <w:r>
        <w:rPr>
          <w:rFonts w:hint="eastAsia"/>
        </w:rPr>
        <w:t>届本科毕业生自主创业地区主要在江西省内，人数</w:t>
      </w:r>
      <w:r>
        <w:rPr>
          <w:rFonts w:hint="eastAsia"/>
        </w:rPr>
        <w:t>20</w:t>
      </w:r>
      <w:r>
        <w:rPr>
          <w:rFonts w:hint="eastAsia"/>
        </w:rPr>
        <w:t>人，占比</w:t>
      </w:r>
      <w:r>
        <w:rPr>
          <w:rFonts w:hint="eastAsia"/>
        </w:rPr>
        <w:t>83.33%</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20</w:t>
      </w:r>
      <w:r>
        <w:fldChar w:fldCharType="end"/>
      </w:r>
      <w:r>
        <w:t xml:space="preserve">  2019</w:t>
      </w:r>
      <w:r>
        <w:rPr>
          <w:rFonts w:hint="eastAsia"/>
        </w:rPr>
        <w:t>届本科毕业生自主创业地区</w:t>
      </w:r>
    </w:p>
    <w:tbl>
      <w:tblPr>
        <w:tblW w:w="5000" w:type="pct"/>
        <w:tblLook w:val="04A0" w:firstRow="1" w:lastRow="0" w:firstColumn="1" w:lastColumn="0" w:noHBand="0" w:noVBand="1"/>
      </w:tblPr>
      <w:tblGrid>
        <w:gridCol w:w="3645"/>
        <w:gridCol w:w="1882"/>
        <w:gridCol w:w="2769"/>
      </w:tblGrid>
      <w:tr w:rsidR="00603F28">
        <w:trPr>
          <w:trHeight w:val="285"/>
          <w:tblHeader/>
        </w:trPr>
        <w:tc>
          <w:tcPr>
            <w:tcW w:w="2197"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单位所在省</w:t>
            </w:r>
          </w:p>
        </w:tc>
        <w:tc>
          <w:tcPr>
            <w:tcW w:w="113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c>
          <w:tcPr>
            <w:tcW w:w="1669"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比例</w:t>
            </w:r>
          </w:p>
        </w:tc>
      </w:tr>
      <w:tr w:rsidR="00603F28">
        <w:trPr>
          <w:trHeight w:val="285"/>
        </w:trPr>
        <w:tc>
          <w:tcPr>
            <w:tcW w:w="21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江西</w:t>
            </w:r>
          </w:p>
        </w:tc>
        <w:tc>
          <w:tcPr>
            <w:tcW w:w="11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16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83.33%</w:t>
            </w:r>
          </w:p>
        </w:tc>
      </w:tr>
      <w:tr w:rsidR="00603F28">
        <w:trPr>
          <w:trHeight w:val="285"/>
        </w:trPr>
        <w:tc>
          <w:tcPr>
            <w:tcW w:w="21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安徽</w:t>
            </w:r>
          </w:p>
        </w:tc>
        <w:tc>
          <w:tcPr>
            <w:tcW w:w="11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16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4.17%</w:t>
            </w:r>
          </w:p>
        </w:tc>
      </w:tr>
      <w:tr w:rsidR="00603F28">
        <w:trPr>
          <w:trHeight w:val="285"/>
        </w:trPr>
        <w:tc>
          <w:tcPr>
            <w:tcW w:w="21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陕西</w:t>
            </w:r>
          </w:p>
        </w:tc>
        <w:tc>
          <w:tcPr>
            <w:tcW w:w="11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16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4.17%</w:t>
            </w:r>
          </w:p>
        </w:tc>
      </w:tr>
      <w:tr w:rsidR="00603F28">
        <w:trPr>
          <w:trHeight w:val="285"/>
        </w:trPr>
        <w:tc>
          <w:tcPr>
            <w:tcW w:w="21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福建</w:t>
            </w:r>
          </w:p>
        </w:tc>
        <w:tc>
          <w:tcPr>
            <w:tcW w:w="11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16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4.17%</w:t>
            </w:r>
          </w:p>
        </w:tc>
      </w:tr>
      <w:tr w:rsidR="00603F28">
        <w:trPr>
          <w:trHeight w:val="285"/>
        </w:trPr>
        <w:tc>
          <w:tcPr>
            <w:tcW w:w="21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湖南</w:t>
            </w:r>
          </w:p>
        </w:tc>
        <w:tc>
          <w:tcPr>
            <w:tcW w:w="11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16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4.17%</w:t>
            </w:r>
          </w:p>
        </w:tc>
      </w:tr>
      <w:tr w:rsidR="00603F28">
        <w:trPr>
          <w:trHeight w:val="285"/>
        </w:trPr>
        <w:tc>
          <w:tcPr>
            <w:tcW w:w="2197"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113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24</w:t>
            </w:r>
          </w:p>
        </w:tc>
        <w:tc>
          <w:tcPr>
            <w:tcW w:w="1669"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100.00%</w:t>
            </w:r>
          </w:p>
        </w:tc>
      </w:tr>
    </w:tbl>
    <w:p w:rsidR="00603F28" w:rsidRDefault="00041260">
      <w:pPr>
        <w:pStyle w:val="2"/>
      </w:pPr>
      <w:bookmarkStart w:id="49" w:name="_Toc27642608"/>
      <w:r>
        <w:rPr>
          <w:rFonts w:hint="eastAsia"/>
          <w:color w:val="000000" w:themeColor="text1"/>
        </w:rPr>
        <w:t>五、</w:t>
      </w:r>
      <w:r>
        <w:rPr>
          <w:rFonts w:cs="Times New Roman"/>
        </w:rPr>
        <w:t>毕业生</w:t>
      </w:r>
      <w:r>
        <w:rPr>
          <w:rFonts w:cs="Times New Roman" w:hint="eastAsia"/>
        </w:rPr>
        <w:t>国（境）</w:t>
      </w:r>
      <w:r>
        <w:rPr>
          <w:rFonts w:cs="Times New Roman"/>
        </w:rPr>
        <w:t>内</w:t>
      </w:r>
      <w:r>
        <w:rPr>
          <w:rFonts w:cs="Times New Roman" w:hint="eastAsia"/>
        </w:rPr>
        <w:t>、</w:t>
      </w:r>
      <w:r>
        <w:rPr>
          <w:rFonts w:cs="Times New Roman"/>
        </w:rPr>
        <w:t>外升学情况</w:t>
      </w:r>
      <w:bookmarkEnd w:id="49"/>
    </w:p>
    <w:p w:rsidR="00603F28" w:rsidRDefault="00041260">
      <w:pPr>
        <w:pStyle w:val="4"/>
        <w:spacing w:before="120"/>
        <w:ind w:firstLine="482"/>
      </w:pPr>
      <w:r>
        <w:t>1.</w:t>
      </w:r>
      <w:r>
        <w:rPr>
          <w:rFonts w:hint="eastAsia"/>
        </w:rPr>
        <w:t>国（境）内升学情况</w:t>
      </w:r>
    </w:p>
    <w:p w:rsidR="00603F28" w:rsidRDefault="00041260">
      <w:pPr>
        <w:ind w:firstLine="420"/>
      </w:pPr>
      <w:r>
        <w:rPr>
          <w:rFonts w:hint="eastAsia"/>
        </w:rPr>
        <w:t>2019</w:t>
      </w:r>
      <w:r>
        <w:rPr>
          <w:rFonts w:hint="eastAsia"/>
        </w:rPr>
        <w:t>届本科毕业生国（境）内升学人数为</w:t>
      </w:r>
      <w:r>
        <w:t>896</w:t>
      </w:r>
      <w:r>
        <w:rPr>
          <w:rFonts w:hint="eastAsia"/>
        </w:rPr>
        <w:t>人，总体国内升学率为</w:t>
      </w:r>
      <w:r>
        <w:t>17.45</w:t>
      </w:r>
      <w:r>
        <w:rPr>
          <w:rFonts w:hint="eastAsia"/>
        </w:rPr>
        <w:t>%</w:t>
      </w:r>
      <w:r>
        <w:rPr>
          <w:rFonts w:hint="eastAsia"/>
        </w:rPr>
        <w:t>。其中，升学至“双一流”建设高校的毕业生为</w:t>
      </w:r>
      <w:r>
        <w:rPr>
          <w:rFonts w:hint="eastAsia"/>
        </w:rPr>
        <w:t>529</w:t>
      </w:r>
      <w:r>
        <w:rPr>
          <w:rFonts w:hint="eastAsia"/>
        </w:rPr>
        <w:t>人，占升学总人数比为</w:t>
      </w:r>
      <w:r>
        <w:rPr>
          <w:rFonts w:hint="eastAsia"/>
        </w:rPr>
        <w:t>59.04%</w:t>
      </w:r>
      <w:r>
        <w:rPr>
          <w:rFonts w:hint="eastAsia"/>
        </w:rPr>
        <w:t>，升学至本校人数为</w:t>
      </w:r>
      <w:r>
        <w:rPr>
          <w:rFonts w:hint="eastAsia"/>
        </w:rPr>
        <w:t>236</w:t>
      </w:r>
      <w:r>
        <w:rPr>
          <w:rFonts w:hint="eastAsia"/>
        </w:rPr>
        <w:t>人，占比</w:t>
      </w:r>
      <w:r>
        <w:rPr>
          <w:rFonts w:hint="eastAsia"/>
        </w:rPr>
        <w:t>26.34%</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21</w:t>
      </w:r>
      <w:r>
        <w:fldChar w:fldCharType="end"/>
      </w:r>
      <w:r>
        <w:t xml:space="preserve">  2019</w:t>
      </w:r>
      <w:r>
        <w:rPr>
          <w:rFonts w:hint="eastAsia"/>
        </w:rPr>
        <w:t>届本科毕业生国内升学情况</w:t>
      </w:r>
    </w:p>
    <w:tbl>
      <w:tblPr>
        <w:tblW w:w="5000" w:type="pct"/>
        <w:tblLook w:val="04A0" w:firstRow="1" w:lastRow="0" w:firstColumn="1" w:lastColumn="0" w:noHBand="0" w:noVBand="1"/>
      </w:tblPr>
      <w:tblGrid>
        <w:gridCol w:w="1837"/>
        <w:gridCol w:w="1774"/>
        <w:gridCol w:w="1663"/>
        <w:gridCol w:w="1950"/>
        <w:gridCol w:w="1072"/>
      </w:tblGrid>
      <w:tr w:rsidR="00603F28">
        <w:trPr>
          <w:trHeight w:val="300"/>
        </w:trPr>
        <w:tc>
          <w:tcPr>
            <w:tcW w:w="1107"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升学高校层次</w:t>
            </w:r>
          </w:p>
        </w:tc>
        <w:tc>
          <w:tcPr>
            <w:tcW w:w="1069"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一流大学建设高校</w:t>
            </w:r>
          </w:p>
        </w:tc>
        <w:tc>
          <w:tcPr>
            <w:tcW w:w="1002"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一流学科建设高校</w:t>
            </w:r>
          </w:p>
        </w:tc>
        <w:tc>
          <w:tcPr>
            <w:tcW w:w="117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江西财经大学</w:t>
            </w:r>
          </w:p>
        </w:tc>
        <w:tc>
          <w:tcPr>
            <w:tcW w:w="646"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其他</w:t>
            </w:r>
          </w:p>
        </w:tc>
      </w:tr>
      <w:tr w:rsidR="00603F28">
        <w:trPr>
          <w:trHeight w:val="300"/>
        </w:trPr>
        <w:tc>
          <w:tcPr>
            <w:tcW w:w="110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人数</w:t>
            </w:r>
          </w:p>
        </w:tc>
        <w:tc>
          <w:tcPr>
            <w:tcW w:w="1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187</w:t>
            </w:r>
          </w:p>
        </w:tc>
        <w:tc>
          <w:tcPr>
            <w:tcW w:w="10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342</w:t>
            </w:r>
          </w:p>
        </w:tc>
        <w:tc>
          <w:tcPr>
            <w:tcW w:w="11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236</w:t>
            </w:r>
          </w:p>
        </w:tc>
        <w:tc>
          <w:tcPr>
            <w:tcW w:w="64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131</w:t>
            </w:r>
          </w:p>
        </w:tc>
      </w:tr>
      <w:tr w:rsidR="00603F28">
        <w:trPr>
          <w:trHeight w:val="300"/>
        </w:trPr>
        <w:tc>
          <w:tcPr>
            <w:tcW w:w="110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升学比例</w:t>
            </w:r>
          </w:p>
        </w:tc>
        <w:tc>
          <w:tcPr>
            <w:tcW w:w="1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20.87%</w:t>
            </w:r>
          </w:p>
        </w:tc>
        <w:tc>
          <w:tcPr>
            <w:tcW w:w="100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38.17%</w:t>
            </w:r>
          </w:p>
        </w:tc>
        <w:tc>
          <w:tcPr>
            <w:tcW w:w="11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26.34%</w:t>
            </w:r>
          </w:p>
        </w:tc>
        <w:tc>
          <w:tcPr>
            <w:tcW w:w="64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14.62%</w:t>
            </w:r>
          </w:p>
        </w:tc>
      </w:tr>
    </w:tbl>
    <w:p w:rsidR="00603F28" w:rsidRDefault="00041260">
      <w:pPr>
        <w:ind w:firstLine="420"/>
      </w:pPr>
      <w:r>
        <w:rPr>
          <w:rFonts w:hint="eastAsia"/>
        </w:rPr>
        <w:t>2019</w:t>
      </w:r>
      <w:r>
        <w:rPr>
          <w:rFonts w:hint="eastAsia"/>
        </w:rPr>
        <w:t>届本科毕业生升学至一流大学建设高校的学校主要为厦门大学（</w:t>
      </w:r>
      <w:r>
        <w:rPr>
          <w:rFonts w:hint="eastAsia"/>
        </w:rPr>
        <w:t>2</w:t>
      </w:r>
      <w:r>
        <w:t>4</w:t>
      </w:r>
      <w:r>
        <w:rPr>
          <w:rFonts w:hint="eastAsia"/>
        </w:rPr>
        <w:t>人）、中山大学（</w:t>
      </w:r>
      <w:r>
        <w:rPr>
          <w:rFonts w:hint="eastAsia"/>
        </w:rPr>
        <w:t>2</w:t>
      </w:r>
      <w:r>
        <w:t>0</w:t>
      </w:r>
      <w:r>
        <w:rPr>
          <w:rFonts w:hint="eastAsia"/>
        </w:rPr>
        <w:t>人）和湖南大学（</w:t>
      </w:r>
      <w:r>
        <w:rPr>
          <w:rFonts w:hint="eastAsia"/>
        </w:rPr>
        <w:t>1</w:t>
      </w:r>
      <w:r>
        <w:t>8</w:t>
      </w:r>
      <w:r>
        <w:rPr>
          <w:rFonts w:hint="eastAsia"/>
        </w:rPr>
        <w:t>人）等；升学至一流学科建设高校的学校主要为暨南大学（</w:t>
      </w:r>
      <w:r>
        <w:t>72</w:t>
      </w:r>
      <w:r>
        <w:rPr>
          <w:rFonts w:hint="eastAsia"/>
        </w:rPr>
        <w:t>人）、中南财经政法大学（</w:t>
      </w:r>
      <w:r>
        <w:t>63</w:t>
      </w:r>
      <w:r>
        <w:rPr>
          <w:rFonts w:hint="eastAsia"/>
        </w:rPr>
        <w:t>人）和西南财经大学（</w:t>
      </w:r>
      <w:r>
        <w:t>45</w:t>
      </w:r>
      <w:r>
        <w:rPr>
          <w:rFonts w:hint="eastAsia"/>
        </w:rPr>
        <w:t>人）等；</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22</w:t>
      </w:r>
      <w:r>
        <w:fldChar w:fldCharType="end"/>
      </w:r>
      <w:r>
        <w:t xml:space="preserve">  2019</w:t>
      </w:r>
      <w:r>
        <w:rPr>
          <w:rFonts w:hint="eastAsia"/>
        </w:rPr>
        <w:t>届本科毕业生“双一流建设”升学高校</w:t>
      </w:r>
    </w:p>
    <w:tbl>
      <w:tblPr>
        <w:tblW w:w="5000" w:type="pct"/>
        <w:tblLook w:val="04A0" w:firstRow="1" w:lastRow="0" w:firstColumn="1" w:lastColumn="0" w:noHBand="0" w:noVBand="1"/>
      </w:tblPr>
      <w:tblGrid>
        <w:gridCol w:w="3776"/>
        <w:gridCol w:w="2970"/>
        <w:gridCol w:w="1550"/>
      </w:tblGrid>
      <w:tr w:rsidR="00603F28">
        <w:trPr>
          <w:trHeight w:val="300"/>
          <w:tblHeader/>
        </w:trPr>
        <w:tc>
          <w:tcPr>
            <w:tcW w:w="2276"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“双一流建设”高校</w:t>
            </w:r>
          </w:p>
        </w:tc>
        <w:tc>
          <w:tcPr>
            <w:tcW w:w="1790"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学校名称</w:t>
            </w:r>
          </w:p>
        </w:tc>
        <w:tc>
          <w:tcPr>
            <w:tcW w:w="934"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人数</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厦门大学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中山大学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湖南大学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华东师范大学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华中科技大学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中南大学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浙江大学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华南理工大学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武汉大学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中国科学技术大学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中国人民大学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复旦大学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重庆大学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南开大学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山东大学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电子科技大学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东南大学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上海交通大学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西安交通大学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中央民族大学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兰州大学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四川大学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北京航空航天大学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北京师范大学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国防科技大学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哈尔滨工业大学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吉林大学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清华大学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天津大学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同济大学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西北工业大学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西北农林科技大学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云南大学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一流大学建设高校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郑州大学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暨南大学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中南财经政法大学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西南财经大学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中央财经大学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上海财经大学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对外经济贸易大学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苏州大学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上海外国语大学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lastRenderedPageBreak/>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中国传媒大学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中国政法大学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华南师范大学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华中师范大学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中国地质大学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北京交通大学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成都理工大学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华东理工大学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首都师范大学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北京工业大学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北京外国语大学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福州大学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海南大学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辽宁大学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南昌大学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南京师范大学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南京信息工程大学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南京邮电大学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武汉理工大学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中国石油大学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北京化工大学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北京体育大学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北京邮电大学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东北林业大学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东北师范大学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东华大学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广西大学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贵州大学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河海大学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河南大学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湖南师范大学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华北电力大学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华中农业大学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南京航空航天大学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南京理工大学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南京林业大学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宁波大学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石河子大学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西南大学</w:t>
            </w:r>
          </w:p>
        </w:tc>
        <w:tc>
          <w:tcPr>
            <w:tcW w:w="93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2276"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一流学科建设高校</w:t>
            </w:r>
          </w:p>
        </w:tc>
        <w:tc>
          <w:tcPr>
            <w:tcW w:w="179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西南交通大学</w:t>
            </w:r>
          </w:p>
        </w:tc>
        <w:tc>
          <w:tcPr>
            <w:tcW w:w="93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r>
      <w:tr w:rsidR="00603F28">
        <w:trPr>
          <w:trHeight w:val="300"/>
        </w:trPr>
        <w:tc>
          <w:tcPr>
            <w:tcW w:w="4066" w:type="pct"/>
            <w:gridSpan w:val="2"/>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93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529</w:t>
            </w:r>
          </w:p>
        </w:tc>
      </w:tr>
    </w:tbl>
    <w:p w:rsidR="00603F28" w:rsidRDefault="00041260">
      <w:pPr>
        <w:pStyle w:val="4"/>
        <w:spacing w:before="120"/>
        <w:ind w:firstLine="482"/>
      </w:pPr>
      <w:r>
        <w:lastRenderedPageBreak/>
        <w:t>2.</w:t>
      </w:r>
      <w:r>
        <w:rPr>
          <w:rFonts w:hint="eastAsia"/>
        </w:rPr>
        <w:t>国（境）外升学情况</w:t>
      </w:r>
    </w:p>
    <w:p w:rsidR="00603F28" w:rsidRDefault="00041260">
      <w:pPr>
        <w:ind w:firstLine="420"/>
      </w:pPr>
      <w:r>
        <w:rPr>
          <w:rFonts w:hint="eastAsia"/>
        </w:rPr>
        <w:t>2019</w:t>
      </w:r>
      <w:r>
        <w:rPr>
          <w:rFonts w:hint="eastAsia"/>
        </w:rPr>
        <w:t>届本科毕业生国（境）外升学人数为</w:t>
      </w:r>
      <w:r>
        <w:rPr>
          <w:rFonts w:hint="eastAsia"/>
        </w:rPr>
        <w:t>64</w:t>
      </w:r>
      <w:r>
        <w:t>2</w:t>
      </w:r>
      <w:r>
        <w:rPr>
          <w:rFonts w:hint="eastAsia"/>
        </w:rPr>
        <w:t>人，主要去往国家为英国（</w:t>
      </w:r>
      <w:r>
        <w:rPr>
          <w:rFonts w:hint="eastAsia"/>
        </w:rPr>
        <w:t>361</w:t>
      </w:r>
      <w:r>
        <w:rPr>
          <w:rFonts w:hint="eastAsia"/>
        </w:rPr>
        <w:t>人，占比</w:t>
      </w:r>
      <w:r>
        <w:rPr>
          <w:rFonts w:hint="eastAsia"/>
        </w:rPr>
        <w:t>56.</w:t>
      </w:r>
      <w:r>
        <w:t>23</w:t>
      </w:r>
      <w:r>
        <w:rPr>
          <w:rFonts w:hint="eastAsia"/>
        </w:rPr>
        <w:t>%</w:t>
      </w:r>
      <w:r>
        <w:rPr>
          <w:rFonts w:hint="eastAsia"/>
        </w:rPr>
        <w:t>）；其次是澳大利亚（</w:t>
      </w:r>
      <w:r>
        <w:rPr>
          <w:rFonts w:hint="eastAsia"/>
        </w:rPr>
        <w:t>105</w:t>
      </w:r>
      <w:r>
        <w:rPr>
          <w:rFonts w:hint="eastAsia"/>
        </w:rPr>
        <w:t>人，占比</w:t>
      </w:r>
      <w:r>
        <w:rPr>
          <w:rFonts w:hint="eastAsia"/>
        </w:rPr>
        <w:t>16.3</w:t>
      </w:r>
      <w:r>
        <w:t>6</w:t>
      </w:r>
      <w:r>
        <w:rPr>
          <w:rFonts w:hint="eastAsia"/>
        </w:rPr>
        <w:t>%</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23</w:t>
      </w:r>
      <w:r>
        <w:fldChar w:fldCharType="end"/>
      </w:r>
      <w:r>
        <w:t xml:space="preserve">  2019</w:t>
      </w:r>
      <w:r>
        <w:rPr>
          <w:rFonts w:hint="eastAsia"/>
        </w:rPr>
        <w:t>届本科毕业生主要出国地区</w:t>
      </w:r>
    </w:p>
    <w:tbl>
      <w:tblPr>
        <w:tblW w:w="5000" w:type="pct"/>
        <w:tblLook w:val="04A0" w:firstRow="1" w:lastRow="0" w:firstColumn="1" w:lastColumn="0" w:noHBand="0" w:noVBand="1"/>
      </w:tblPr>
      <w:tblGrid>
        <w:gridCol w:w="1010"/>
        <w:gridCol w:w="4533"/>
        <w:gridCol w:w="1399"/>
        <w:gridCol w:w="1354"/>
      </w:tblGrid>
      <w:tr w:rsidR="00603F28">
        <w:trPr>
          <w:trHeight w:val="300"/>
          <w:tblHeader/>
        </w:trPr>
        <w:tc>
          <w:tcPr>
            <w:tcW w:w="609"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732"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国家</w:t>
            </w:r>
          </w:p>
        </w:tc>
        <w:tc>
          <w:tcPr>
            <w:tcW w:w="843"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c>
          <w:tcPr>
            <w:tcW w:w="817"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英国</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361</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56.23%</w:t>
            </w:r>
          </w:p>
        </w:tc>
      </w:tr>
      <w:tr w:rsidR="00603F28">
        <w:trPr>
          <w:trHeight w:val="300"/>
        </w:trPr>
        <w:tc>
          <w:tcPr>
            <w:tcW w:w="60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73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澳大利亚</w:t>
            </w:r>
          </w:p>
        </w:tc>
        <w:tc>
          <w:tcPr>
            <w:tcW w:w="8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105</w:t>
            </w:r>
          </w:p>
        </w:tc>
        <w:tc>
          <w:tcPr>
            <w:tcW w:w="8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16.36%</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美国</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11.21%</w:t>
            </w:r>
          </w:p>
        </w:tc>
      </w:tr>
      <w:tr w:rsidR="00603F28">
        <w:trPr>
          <w:trHeight w:val="300"/>
        </w:trPr>
        <w:tc>
          <w:tcPr>
            <w:tcW w:w="60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73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香港</w:t>
            </w:r>
          </w:p>
        </w:tc>
        <w:tc>
          <w:tcPr>
            <w:tcW w:w="8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w:t>
            </w:r>
          </w:p>
        </w:tc>
        <w:tc>
          <w:tcPr>
            <w:tcW w:w="8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4.83%</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日本</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2.80%</w:t>
            </w:r>
          </w:p>
        </w:tc>
      </w:tr>
      <w:tr w:rsidR="00603F28">
        <w:trPr>
          <w:trHeight w:val="300"/>
        </w:trPr>
        <w:tc>
          <w:tcPr>
            <w:tcW w:w="60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73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法国</w:t>
            </w:r>
          </w:p>
        </w:tc>
        <w:tc>
          <w:tcPr>
            <w:tcW w:w="8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8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1.40%</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新西兰</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300"/>
        </w:trPr>
        <w:tc>
          <w:tcPr>
            <w:tcW w:w="60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73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加拿大</w:t>
            </w:r>
          </w:p>
        </w:tc>
        <w:tc>
          <w:tcPr>
            <w:tcW w:w="8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8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1.25%</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新加坡</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1.09%</w:t>
            </w:r>
          </w:p>
        </w:tc>
      </w:tr>
      <w:tr w:rsidR="00603F28">
        <w:trPr>
          <w:trHeight w:val="300"/>
        </w:trPr>
        <w:tc>
          <w:tcPr>
            <w:tcW w:w="60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73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芬兰</w:t>
            </w:r>
          </w:p>
        </w:tc>
        <w:tc>
          <w:tcPr>
            <w:tcW w:w="8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81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0.78%</w:t>
            </w:r>
          </w:p>
        </w:tc>
      </w:tr>
      <w:tr w:rsidR="00603F28">
        <w:trPr>
          <w:trHeight w:val="300"/>
        </w:trPr>
        <w:tc>
          <w:tcPr>
            <w:tcW w:w="60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73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其他地区</w:t>
            </w:r>
          </w:p>
        </w:tc>
        <w:tc>
          <w:tcPr>
            <w:tcW w:w="8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81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2.80%</w:t>
            </w:r>
          </w:p>
        </w:tc>
      </w:tr>
      <w:tr w:rsidR="00603F28">
        <w:trPr>
          <w:trHeight w:val="300"/>
        </w:trPr>
        <w:tc>
          <w:tcPr>
            <w:tcW w:w="3341" w:type="pct"/>
            <w:gridSpan w:val="2"/>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843"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642</w:t>
            </w:r>
          </w:p>
        </w:tc>
        <w:tc>
          <w:tcPr>
            <w:tcW w:w="817"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100.00%</w:t>
            </w:r>
          </w:p>
        </w:tc>
      </w:tr>
    </w:tbl>
    <w:p w:rsidR="00603F28" w:rsidRDefault="00041260">
      <w:pPr>
        <w:ind w:firstLineChars="200" w:firstLine="420"/>
      </w:pPr>
      <w:r>
        <w:rPr>
          <w:rFonts w:hint="eastAsia"/>
        </w:rPr>
        <w:t>20</w:t>
      </w:r>
      <w:r>
        <w:t>19</w:t>
      </w:r>
      <w:r>
        <w:rPr>
          <w:rFonts w:hint="eastAsia"/>
        </w:rPr>
        <w:t>届本科毕业生出国至</w:t>
      </w:r>
      <w:r>
        <w:rPr>
          <w:rFonts w:hint="eastAsia"/>
        </w:rPr>
        <w:t>QS</w:t>
      </w:r>
      <w:r>
        <w:rPr>
          <w:rFonts w:hint="eastAsia"/>
        </w:rPr>
        <w:t>、</w:t>
      </w:r>
      <w:r>
        <w:rPr>
          <w:rFonts w:hint="eastAsia"/>
        </w:rPr>
        <w:t>THE</w:t>
      </w:r>
      <w:r>
        <w:rPr>
          <w:rFonts w:hint="eastAsia"/>
        </w:rPr>
        <w:t>和上海交大全球大学排名前</w:t>
      </w:r>
      <w:r>
        <w:rPr>
          <w:rFonts w:hint="eastAsia"/>
        </w:rPr>
        <w:t>20</w:t>
      </w:r>
      <w:r>
        <w:rPr>
          <w:rFonts w:hint="eastAsia"/>
        </w:rPr>
        <w:t>学校的人数为</w:t>
      </w:r>
      <w:r>
        <w:t>39</w:t>
      </w:r>
      <w:r>
        <w:rPr>
          <w:rFonts w:hint="eastAsia"/>
        </w:rPr>
        <w:t>人，占出国（境）总人数的</w:t>
      </w:r>
      <w:r>
        <w:t>6.07</w:t>
      </w:r>
      <w:r>
        <w:rPr>
          <w:rFonts w:hint="eastAsia"/>
        </w:rPr>
        <w:t>%</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24</w:t>
      </w:r>
      <w:r>
        <w:fldChar w:fldCharType="end"/>
      </w:r>
      <w:r>
        <w:rPr>
          <w:rFonts w:hint="eastAsia"/>
        </w:rPr>
        <w:t>201</w:t>
      </w:r>
      <w:r>
        <w:t>9</w:t>
      </w:r>
      <w:r>
        <w:rPr>
          <w:rFonts w:hint="eastAsia"/>
        </w:rPr>
        <w:t>届本科毕业生去往全球大学排名前</w:t>
      </w:r>
      <w:r>
        <w:rPr>
          <w:rFonts w:hint="eastAsia"/>
        </w:rPr>
        <w:t>20</w:t>
      </w:r>
      <w:r>
        <w:rPr>
          <w:rFonts w:hint="eastAsia"/>
        </w:rPr>
        <w:t>名高校情况</w:t>
      </w:r>
    </w:p>
    <w:tbl>
      <w:tblPr>
        <w:tblW w:w="5000" w:type="pct"/>
        <w:tblLook w:val="04A0" w:firstRow="1" w:lastRow="0" w:firstColumn="1" w:lastColumn="0" w:noHBand="0" w:noVBand="1"/>
      </w:tblPr>
      <w:tblGrid>
        <w:gridCol w:w="1322"/>
        <w:gridCol w:w="4787"/>
        <w:gridCol w:w="2187"/>
      </w:tblGrid>
      <w:tr w:rsidR="00603F28">
        <w:trPr>
          <w:trHeight w:val="300"/>
        </w:trPr>
        <w:tc>
          <w:tcPr>
            <w:tcW w:w="797"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88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世界大学</w:t>
            </w:r>
          </w:p>
        </w:tc>
        <w:tc>
          <w:tcPr>
            <w:tcW w:w="1319"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人数</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爱丁堡大学</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r>
      <w:tr w:rsidR="00603F28">
        <w:trPr>
          <w:trHeight w:val="300"/>
        </w:trPr>
        <w:tc>
          <w:tcPr>
            <w:tcW w:w="7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88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伦敦大学学院</w:t>
            </w:r>
          </w:p>
        </w:tc>
        <w:tc>
          <w:tcPr>
            <w:tcW w:w="131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约翰霍普金斯大学</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r>
      <w:tr w:rsidR="00603F28">
        <w:trPr>
          <w:trHeight w:val="300"/>
        </w:trPr>
        <w:tc>
          <w:tcPr>
            <w:tcW w:w="7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88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哥伦比亚大学</w:t>
            </w:r>
          </w:p>
        </w:tc>
        <w:tc>
          <w:tcPr>
            <w:tcW w:w="131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新加坡国立大学</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7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88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加州大学圣地亚哥分校</w:t>
            </w:r>
          </w:p>
        </w:tc>
        <w:tc>
          <w:tcPr>
            <w:tcW w:w="131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华盛顿大学</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r>
      <w:tr w:rsidR="00603F28">
        <w:trPr>
          <w:trHeight w:val="300"/>
        </w:trPr>
        <w:tc>
          <w:tcPr>
            <w:tcW w:w="7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88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帝国理工学院</w:t>
            </w:r>
          </w:p>
        </w:tc>
        <w:tc>
          <w:tcPr>
            <w:tcW w:w="131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耶鲁大学</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79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88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多伦多大学</w:t>
            </w:r>
          </w:p>
        </w:tc>
        <w:tc>
          <w:tcPr>
            <w:tcW w:w="131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79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88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加州大学洛杉矶分校</w:t>
            </w:r>
          </w:p>
        </w:tc>
        <w:tc>
          <w:tcPr>
            <w:tcW w:w="131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r>
      <w:tr w:rsidR="00603F28">
        <w:trPr>
          <w:trHeight w:val="300"/>
        </w:trPr>
        <w:tc>
          <w:tcPr>
            <w:tcW w:w="3681" w:type="pct"/>
            <w:gridSpan w:val="2"/>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1319"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39</w:t>
            </w:r>
          </w:p>
        </w:tc>
      </w:tr>
    </w:tbl>
    <w:p w:rsidR="00603F28" w:rsidRDefault="00041260">
      <w:pPr>
        <w:pStyle w:val="4"/>
        <w:spacing w:before="120"/>
        <w:ind w:firstLine="482"/>
      </w:pPr>
      <w:r>
        <w:t>3.</w:t>
      </w:r>
      <w:r>
        <w:rPr>
          <w:rFonts w:hint="eastAsia"/>
        </w:rPr>
        <w:t>各学院国（境）内、外升学情况</w:t>
      </w:r>
    </w:p>
    <w:p w:rsidR="00603F28" w:rsidRDefault="00041260">
      <w:pPr>
        <w:ind w:firstLineChars="200" w:firstLine="420"/>
      </w:pPr>
      <w:r>
        <w:rPr>
          <w:rFonts w:hint="eastAsia"/>
        </w:rPr>
        <w:t>从升学情况来看，统计学院（</w:t>
      </w:r>
      <w:r>
        <w:t>74</w:t>
      </w:r>
      <w:r>
        <w:rPr>
          <w:rFonts w:hint="eastAsia"/>
        </w:rPr>
        <w:t>人，升学率</w:t>
      </w:r>
      <w:r>
        <w:t>27.01</w:t>
      </w:r>
      <w:r>
        <w:rPr>
          <w:rFonts w:hint="eastAsia"/>
        </w:rPr>
        <w:t>%</w:t>
      </w:r>
      <w:r>
        <w:rPr>
          <w:rFonts w:hint="eastAsia"/>
        </w:rPr>
        <w:t>）、旅游与城市管理学院（</w:t>
      </w:r>
      <w:r>
        <w:t>31</w:t>
      </w:r>
      <w:r>
        <w:rPr>
          <w:rFonts w:hint="eastAsia"/>
        </w:rPr>
        <w:t>人，升学率</w:t>
      </w:r>
      <w:r>
        <w:t>24.60</w:t>
      </w:r>
      <w:r>
        <w:rPr>
          <w:rFonts w:hint="eastAsia"/>
        </w:rPr>
        <w:t>%</w:t>
      </w:r>
      <w:r>
        <w:rPr>
          <w:rFonts w:hint="eastAsia"/>
        </w:rPr>
        <w:t>）等</w:t>
      </w:r>
      <w:r>
        <w:rPr>
          <w:rFonts w:hint="eastAsia"/>
        </w:rPr>
        <w:t>6</w:t>
      </w:r>
      <w:r>
        <w:rPr>
          <w:rFonts w:hint="eastAsia"/>
        </w:rPr>
        <w:t>个学院的升学率在</w:t>
      </w:r>
      <w:r>
        <w:rPr>
          <w:rFonts w:hint="eastAsia"/>
        </w:rPr>
        <w:t>20%</w:t>
      </w:r>
      <w:r>
        <w:rPr>
          <w:rFonts w:hint="eastAsia"/>
        </w:rPr>
        <w:t>以上；从出国（境）情况来看，出国（境）率最高的学院为国际学院，高达</w:t>
      </w:r>
      <w:r>
        <w:rPr>
          <w:rFonts w:hint="eastAsia"/>
        </w:rPr>
        <w:t>33.95%</w:t>
      </w:r>
      <w:r>
        <w:rPr>
          <w:rFonts w:hint="eastAsia"/>
        </w:rPr>
        <w:t>，其次是外国语学院（</w:t>
      </w:r>
      <w:r>
        <w:rPr>
          <w:rFonts w:hint="eastAsia"/>
        </w:rPr>
        <w:t>16</w:t>
      </w:r>
      <w:r>
        <w:rPr>
          <w:rFonts w:hint="eastAsia"/>
        </w:rPr>
        <w:t>人，出国（境）率</w:t>
      </w:r>
      <w:r>
        <w:rPr>
          <w:rFonts w:hint="eastAsia"/>
        </w:rPr>
        <w:t>18</w:t>
      </w:r>
      <w:r>
        <w:t>.</w:t>
      </w:r>
      <w:r>
        <w:rPr>
          <w:rFonts w:hint="eastAsia"/>
        </w:rPr>
        <w:t>18</w:t>
      </w:r>
      <w:r>
        <w:t>%</w:t>
      </w:r>
      <w:r>
        <w:rPr>
          <w:rFonts w:hint="eastAsia"/>
        </w:rPr>
        <w:t>）、</w:t>
      </w:r>
      <w:r>
        <w:rPr>
          <w:rFonts w:hint="eastAsia"/>
        </w:rPr>
        <w:lastRenderedPageBreak/>
        <w:t>金融学院（</w:t>
      </w:r>
      <w:r>
        <w:rPr>
          <w:rFonts w:hint="eastAsia"/>
        </w:rPr>
        <w:t>89</w:t>
      </w:r>
      <w:r>
        <w:rPr>
          <w:rFonts w:hint="eastAsia"/>
        </w:rPr>
        <w:t>人，出国（境）率</w:t>
      </w:r>
      <w:r>
        <w:rPr>
          <w:rFonts w:hint="eastAsia"/>
        </w:rPr>
        <w:t>17.35%</w:t>
      </w:r>
      <w:r>
        <w:rPr>
          <w:rFonts w:hint="eastAsia"/>
        </w:rPr>
        <w:t>）和会计学院（</w:t>
      </w:r>
      <w:r>
        <w:t>167</w:t>
      </w:r>
      <w:r>
        <w:rPr>
          <w:rFonts w:hint="eastAsia"/>
        </w:rPr>
        <w:t>人，出国（境）率</w:t>
      </w:r>
      <w:r>
        <w:t>17.02</w:t>
      </w:r>
      <w:r>
        <w:rPr>
          <w:rFonts w:hint="eastAsia"/>
        </w:rPr>
        <w:t>%</w:t>
      </w:r>
      <w:r>
        <w:rPr>
          <w:rFonts w:hint="eastAsia"/>
        </w:rPr>
        <w:t>）。</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25</w:t>
      </w:r>
      <w:r>
        <w:fldChar w:fldCharType="end"/>
      </w:r>
      <w:r>
        <w:t xml:space="preserve">  2019</w:t>
      </w:r>
      <w:r>
        <w:rPr>
          <w:rFonts w:hint="eastAsia"/>
        </w:rPr>
        <w:t>届本科毕业生各学院国（境）内、外升学情况</w:t>
      </w:r>
    </w:p>
    <w:tbl>
      <w:tblPr>
        <w:tblW w:w="9356" w:type="dxa"/>
        <w:tblInd w:w="-714" w:type="dxa"/>
        <w:tblLook w:val="04A0" w:firstRow="1" w:lastRow="0" w:firstColumn="1" w:lastColumn="0" w:noHBand="0" w:noVBand="1"/>
      </w:tblPr>
      <w:tblGrid>
        <w:gridCol w:w="2127"/>
        <w:gridCol w:w="992"/>
        <w:gridCol w:w="992"/>
        <w:gridCol w:w="993"/>
        <w:gridCol w:w="992"/>
        <w:gridCol w:w="1134"/>
        <w:gridCol w:w="992"/>
        <w:gridCol w:w="1134"/>
      </w:tblGrid>
      <w:tr w:rsidR="00603F28">
        <w:trPr>
          <w:trHeight w:val="315"/>
          <w:tblHeader/>
        </w:trPr>
        <w:tc>
          <w:tcPr>
            <w:tcW w:w="2127" w:type="dxa"/>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院系名称</w:t>
            </w:r>
          </w:p>
        </w:tc>
        <w:tc>
          <w:tcPr>
            <w:tcW w:w="992"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国</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境</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外升学人数</w:t>
            </w:r>
          </w:p>
        </w:tc>
        <w:tc>
          <w:tcPr>
            <w:tcW w:w="992"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国</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境</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外升学率</w:t>
            </w:r>
          </w:p>
        </w:tc>
        <w:tc>
          <w:tcPr>
            <w:tcW w:w="993"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国</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境</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内升学人数</w:t>
            </w:r>
          </w:p>
        </w:tc>
        <w:tc>
          <w:tcPr>
            <w:tcW w:w="992"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国</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境</w:t>
            </w:r>
            <w:r>
              <w:rPr>
                <w:rFonts w:ascii="黑体" w:eastAsia="黑体" w:hAnsi="黑体" w:cs="宋体" w:hint="eastAsia"/>
                <w:b/>
                <w:bCs/>
                <w:color w:val="FFFFFF"/>
                <w:kern w:val="0"/>
                <w:sz w:val="18"/>
                <w:szCs w:val="18"/>
              </w:rPr>
              <w:t>)</w:t>
            </w:r>
            <w:r>
              <w:rPr>
                <w:rFonts w:ascii="黑体" w:eastAsia="黑体" w:hAnsi="黑体" w:cs="宋体" w:hint="eastAsia"/>
                <w:b/>
                <w:bCs/>
                <w:color w:val="FFFFFF"/>
                <w:kern w:val="0"/>
                <w:sz w:val="18"/>
                <w:szCs w:val="18"/>
              </w:rPr>
              <w:t>内升学率</w:t>
            </w:r>
          </w:p>
        </w:tc>
        <w:tc>
          <w:tcPr>
            <w:tcW w:w="1134"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升学总人数</w:t>
            </w:r>
          </w:p>
        </w:tc>
        <w:tc>
          <w:tcPr>
            <w:tcW w:w="992"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总升学率</w:t>
            </w:r>
          </w:p>
        </w:tc>
        <w:tc>
          <w:tcPr>
            <w:tcW w:w="1134" w:type="dxa"/>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总人数</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国际学院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221</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33.95%</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12.14%</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300</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46.08%</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651</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工商管理学院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8.46%</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10.34%</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60</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18.81%</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319</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财税与公共管理学院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1.68%</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18.51%</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84</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20.19%</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416</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17.02%</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171</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17.43%</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338</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34.45%</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981</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国际经贸学院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8.36%</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67</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19.31%</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27.67%</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347</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6.67%</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17.62%</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24.29%</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210</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17.35%</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21.25%</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198</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38.60%</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513</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统计学院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6.57%</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74</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27.01%</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92</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33.58%</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274</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信息管理学院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6.17%</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24.07%</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30.25%</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162</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旅游与城市管理学院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10.32%</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24.60%</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34.92%</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126</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法学院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1.32%</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21.05%</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22.37%</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152</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软件与物联网工程学院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4.00%</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15.25%</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19.25%</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400</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外国语学院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18.18%</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18.18%</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36.36%</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88</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人文学院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5.74%</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24.59%</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30.33%</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122</w:t>
            </w:r>
          </w:p>
        </w:tc>
      </w:tr>
      <w:tr w:rsidR="00603F28">
        <w:trPr>
          <w:trHeight w:val="315"/>
        </w:trPr>
        <w:tc>
          <w:tcPr>
            <w:tcW w:w="2127" w:type="dxa"/>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艺术学院</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0.97%</w:t>
            </w:r>
          </w:p>
        </w:tc>
        <w:tc>
          <w:tcPr>
            <w:tcW w:w="993"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11.65%</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w:t>
            </w:r>
          </w:p>
        </w:tc>
        <w:tc>
          <w:tcPr>
            <w:tcW w:w="992"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12.62%</w:t>
            </w:r>
          </w:p>
        </w:tc>
        <w:tc>
          <w:tcPr>
            <w:tcW w:w="1134" w:type="dxa"/>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309</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体育学院</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4.69%</w:t>
            </w:r>
          </w:p>
        </w:tc>
        <w:tc>
          <w:tcPr>
            <w:tcW w:w="993"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6.25%</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992"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10.94%</w:t>
            </w:r>
          </w:p>
        </w:tc>
        <w:tc>
          <w:tcPr>
            <w:tcW w:w="1134" w:type="dxa"/>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w:t>
            </w:r>
          </w:p>
        </w:tc>
      </w:tr>
      <w:tr w:rsidR="00603F28">
        <w:trPr>
          <w:trHeight w:val="315"/>
        </w:trPr>
        <w:tc>
          <w:tcPr>
            <w:tcW w:w="2127" w:type="dxa"/>
            <w:tcBorders>
              <w:top w:val="nil"/>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总计</w:t>
            </w:r>
          </w:p>
        </w:tc>
        <w:tc>
          <w:tcPr>
            <w:tcW w:w="992"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642</w:t>
            </w:r>
          </w:p>
        </w:tc>
        <w:tc>
          <w:tcPr>
            <w:tcW w:w="992"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12.50%</w:t>
            </w:r>
          </w:p>
        </w:tc>
        <w:tc>
          <w:tcPr>
            <w:tcW w:w="993"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896</w:t>
            </w:r>
          </w:p>
        </w:tc>
        <w:tc>
          <w:tcPr>
            <w:tcW w:w="992"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17.45%</w:t>
            </w:r>
          </w:p>
        </w:tc>
        <w:tc>
          <w:tcPr>
            <w:tcW w:w="1134"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1538</w:t>
            </w:r>
          </w:p>
        </w:tc>
        <w:tc>
          <w:tcPr>
            <w:tcW w:w="992"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29.96%</w:t>
            </w:r>
          </w:p>
        </w:tc>
        <w:tc>
          <w:tcPr>
            <w:tcW w:w="1134" w:type="dxa"/>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5134</w:t>
            </w:r>
          </w:p>
        </w:tc>
      </w:tr>
    </w:tbl>
    <w:p w:rsidR="00603F28" w:rsidRDefault="00041260">
      <w:pPr>
        <w:pStyle w:val="2"/>
      </w:pPr>
      <w:bookmarkStart w:id="50" w:name="_Toc27642609"/>
      <w:r>
        <w:rPr>
          <w:rFonts w:hint="eastAsia"/>
          <w:color w:val="000000" w:themeColor="text1"/>
        </w:rPr>
        <w:t>六、双困毕业生就业情况</w:t>
      </w:r>
      <w:bookmarkEnd w:id="50"/>
    </w:p>
    <w:p w:rsidR="00603F28" w:rsidRDefault="00041260">
      <w:pPr>
        <w:ind w:firstLineChars="200" w:firstLine="420"/>
      </w:pPr>
      <w:r>
        <w:rPr>
          <w:rFonts w:hint="eastAsia"/>
        </w:rPr>
        <w:t>2</w:t>
      </w:r>
      <w:r>
        <w:t>019</w:t>
      </w:r>
      <w:r>
        <w:rPr>
          <w:rFonts w:hint="eastAsia"/>
        </w:rPr>
        <w:t>届本科毕业生中，</w:t>
      </w:r>
      <w:r>
        <w:t>建档立卡贫困学生</w:t>
      </w:r>
      <w:r>
        <w:t>143</w:t>
      </w:r>
      <w:r>
        <w:t>人</w:t>
      </w:r>
      <w:r>
        <w:rPr>
          <w:rFonts w:hint="eastAsia"/>
        </w:rPr>
        <w:t>，已就业</w:t>
      </w:r>
      <w:r>
        <w:rPr>
          <w:rFonts w:hint="eastAsia"/>
        </w:rPr>
        <w:t>141</w:t>
      </w:r>
      <w:r>
        <w:rPr>
          <w:rFonts w:hint="eastAsia"/>
        </w:rPr>
        <w:t>人，就业率为</w:t>
      </w:r>
      <w:r>
        <w:rPr>
          <w:rFonts w:hint="eastAsia"/>
        </w:rPr>
        <w:t>98.6</w:t>
      </w:r>
      <w:r>
        <w:t>0</w:t>
      </w:r>
      <w:r>
        <w:rPr>
          <w:rFonts w:hint="eastAsia"/>
        </w:rPr>
        <w:t>%</w:t>
      </w:r>
      <w:r>
        <w:rPr>
          <w:rFonts w:hint="eastAsia"/>
        </w:rPr>
        <w:t>；双困生（</w:t>
      </w:r>
      <w:r>
        <w:t>就业困难及家庭困难学生</w:t>
      </w:r>
      <w:r>
        <w:rPr>
          <w:rFonts w:hint="eastAsia"/>
        </w:rPr>
        <w:t>）</w:t>
      </w:r>
      <w:r>
        <w:t>120</w:t>
      </w:r>
      <w:r>
        <w:t>人</w:t>
      </w:r>
      <w:r>
        <w:rPr>
          <w:rFonts w:hint="eastAsia"/>
        </w:rPr>
        <w:t>，已就业</w:t>
      </w:r>
      <w:r>
        <w:rPr>
          <w:rFonts w:hint="eastAsia"/>
        </w:rPr>
        <w:t>118</w:t>
      </w:r>
      <w:r>
        <w:rPr>
          <w:rFonts w:hint="eastAsia"/>
        </w:rPr>
        <w:t>人，</w:t>
      </w:r>
      <w:r>
        <w:t>就业率为</w:t>
      </w:r>
      <w:r>
        <w:t>93.33</w:t>
      </w:r>
      <w:r>
        <w:rPr>
          <w:rFonts w:hint="eastAsia"/>
        </w:rPr>
        <w:t>%</w:t>
      </w:r>
      <w:r>
        <w:rPr>
          <w:rFonts w:hint="eastAsia"/>
        </w:rPr>
        <w:t>。在学校的就业帮扶与指导下，建档立卡贫困户及双困毕业生就业情况良好。</w:t>
      </w:r>
    </w:p>
    <w:p w:rsidR="00603F28" w:rsidRDefault="00041260">
      <w:pPr>
        <w:pStyle w:val="a3"/>
      </w:pPr>
      <w:r>
        <w:rPr>
          <w:rFonts w:hint="eastAsia"/>
        </w:rPr>
        <w:t>表</w:t>
      </w:r>
      <w:r>
        <w:rPr>
          <w:rFonts w:hint="eastAsia"/>
        </w:rPr>
        <w:t>1-</w:t>
      </w:r>
      <w:r>
        <w:fldChar w:fldCharType="begin"/>
      </w:r>
      <w:r>
        <w:rPr>
          <w:rFonts w:hint="eastAsia"/>
        </w:rPr>
        <w:instrText xml:space="preserve">SEQ </w:instrText>
      </w:r>
      <w:r>
        <w:rPr>
          <w:rFonts w:hint="eastAsia"/>
        </w:rPr>
        <w:instrText>表</w:instrText>
      </w:r>
      <w:r>
        <w:rPr>
          <w:rFonts w:hint="eastAsia"/>
        </w:rPr>
        <w:instrText>1- \* ARABIC</w:instrText>
      </w:r>
      <w:r>
        <w:fldChar w:fldCharType="separate"/>
      </w:r>
      <w:r>
        <w:t>26</w:t>
      </w:r>
      <w:r>
        <w:fldChar w:fldCharType="end"/>
      </w:r>
      <w:r>
        <w:t xml:space="preserve">  2019</w:t>
      </w:r>
      <w:r>
        <w:rPr>
          <w:rFonts w:hint="eastAsia"/>
        </w:rPr>
        <w:t>届双困毕业生就业情况</w:t>
      </w:r>
    </w:p>
    <w:tbl>
      <w:tblPr>
        <w:tblW w:w="5000" w:type="pct"/>
        <w:tblLook w:val="04A0" w:firstRow="1" w:lastRow="0" w:firstColumn="1" w:lastColumn="0" w:noHBand="0" w:noVBand="1"/>
      </w:tblPr>
      <w:tblGrid>
        <w:gridCol w:w="2016"/>
        <w:gridCol w:w="776"/>
        <w:gridCol w:w="759"/>
        <w:gridCol w:w="759"/>
        <w:gridCol w:w="846"/>
        <w:gridCol w:w="776"/>
        <w:gridCol w:w="759"/>
        <w:gridCol w:w="759"/>
        <w:gridCol w:w="846"/>
      </w:tblGrid>
      <w:tr w:rsidR="00603F28">
        <w:trPr>
          <w:trHeight w:val="300"/>
          <w:tblHeader/>
        </w:trPr>
        <w:tc>
          <w:tcPr>
            <w:tcW w:w="880" w:type="pct"/>
            <w:vMerge w:val="restar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院系名称</w:t>
            </w:r>
          </w:p>
        </w:tc>
        <w:tc>
          <w:tcPr>
            <w:tcW w:w="2060" w:type="pct"/>
            <w:gridSpan w:val="4"/>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建档立卡贫困户</w:t>
            </w:r>
          </w:p>
        </w:tc>
        <w:tc>
          <w:tcPr>
            <w:tcW w:w="2060" w:type="pct"/>
            <w:gridSpan w:val="4"/>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双困生（就业困难和家庭困难）</w:t>
            </w:r>
          </w:p>
        </w:tc>
      </w:tr>
      <w:tr w:rsidR="00603F28">
        <w:trPr>
          <w:trHeight w:val="300"/>
          <w:tblHeader/>
        </w:trPr>
        <w:tc>
          <w:tcPr>
            <w:tcW w:w="880"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b/>
                <w:bCs/>
                <w:color w:val="FFFFFF"/>
                <w:kern w:val="0"/>
                <w:sz w:val="18"/>
                <w:szCs w:val="18"/>
              </w:rPr>
            </w:pPr>
          </w:p>
        </w:tc>
        <w:tc>
          <w:tcPr>
            <w:tcW w:w="1299"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总人数</w:t>
            </w:r>
          </w:p>
        </w:tc>
        <w:tc>
          <w:tcPr>
            <w:tcW w:w="20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已就业</w:t>
            </w:r>
          </w:p>
        </w:tc>
        <w:tc>
          <w:tcPr>
            <w:tcW w:w="201"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待就业</w:t>
            </w:r>
          </w:p>
        </w:tc>
        <w:tc>
          <w:tcPr>
            <w:tcW w:w="35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就业率</w:t>
            </w:r>
          </w:p>
        </w:tc>
        <w:tc>
          <w:tcPr>
            <w:tcW w:w="1299"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总人数</w:t>
            </w:r>
          </w:p>
        </w:tc>
        <w:tc>
          <w:tcPr>
            <w:tcW w:w="20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已就业</w:t>
            </w:r>
          </w:p>
        </w:tc>
        <w:tc>
          <w:tcPr>
            <w:tcW w:w="201"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待就业</w:t>
            </w:r>
          </w:p>
        </w:tc>
        <w:tc>
          <w:tcPr>
            <w:tcW w:w="35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就业率</w:t>
            </w:r>
          </w:p>
        </w:tc>
      </w:tr>
      <w:tr w:rsidR="00603F28">
        <w:trPr>
          <w:trHeight w:val="300"/>
        </w:trPr>
        <w:tc>
          <w:tcPr>
            <w:tcW w:w="880" w:type="pct"/>
            <w:tcBorders>
              <w:top w:val="single" w:sz="4" w:space="0" w:color="auto"/>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1299"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5"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1"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5"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1"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single" w:sz="4" w:space="0" w:color="auto"/>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85.71%</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95.65%</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90.91%</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旅游与城市管理学院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0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35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66.67%</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129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5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880" w:type="pct"/>
            <w:tcBorders>
              <w:top w:val="nil"/>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1299"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143</w:t>
            </w:r>
          </w:p>
        </w:tc>
        <w:tc>
          <w:tcPr>
            <w:tcW w:w="205"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141</w:t>
            </w:r>
          </w:p>
        </w:tc>
        <w:tc>
          <w:tcPr>
            <w:tcW w:w="201"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w:t>
            </w:r>
          </w:p>
        </w:tc>
        <w:tc>
          <w:tcPr>
            <w:tcW w:w="355"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98.60%</w:t>
            </w:r>
          </w:p>
        </w:tc>
        <w:tc>
          <w:tcPr>
            <w:tcW w:w="1299"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120</w:t>
            </w:r>
          </w:p>
        </w:tc>
        <w:tc>
          <w:tcPr>
            <w:tcW w:w="205"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112</w:t>
            </w:r>
          </w:p>
        </w:tc>
        <w:tc>
          <w:tcPr>
            <w:tcW w:w="201"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w:t>
            </w:r>
          </w:p>
        </w:tc>
        <w:tc>
          <w:tcPr>
            <w:tcW w:w="355" w:type="pct"/>
            <w:tcBorders>
              <w:top w:val="nil"/>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93.33%</w:t>
            </w:r>
          </w:p>
        </w:tc>
      </w:tr>
    </w:tbl>
    <w:p w:rsidR="00603F28" w:rsidRDefault="00041260">
      <w:pPr>
        <w:rPr>
          <w:kern w:val="44"/>
          <w:sz w:val="32"/>
          <w:szCs w:val="44"/>
        </w:rPr>
      </w:pPr>
      <w:r>
        <w:br w:type="page"/>
      </w:r>
    </w:p>
    <w:p w:rsidR="00603F28" w:rsidRDefault="00041260">
      <w:pPr>
        <w:pStyle w:val="1"/>
        <w:rPr>
          <w:rFonts w:ascii="Songti SC" w:hAnsi="Songti SC"/>
        </w:rPr>
      </w:pPr>
      <w:bookmarkStart w:id="51" w:name="_Toc27642610"/>
      <w:r>
        <w:rPr>
          <w:rFonts w:ascii="Songti SC" w:hAnsi="Songti SC" w:hint="eastAsia"/>
        </w:rPr>
        <w:lastRenderedPageBreak/>
        <w:t>第二章</w:t>
      </w:r>
      <w:r>
        <w:rPr>
          <w:rFonts w:ascii="Songti SC" w:hAnsi="Songti SC"/>
        </w:rPr>
        <w:t xml:space="preserve"> </w:t>
      </w:r>
      <w:r>
        <w:rPr>
          <w:rFonts w:ascii="time" w:hAnsi="time" w:hint="eastAsia"/>
        </w:rPr>
        <w:t>2019</w:t>
      </w:r>
      <w:r>
        <w:rPr>
          <w:rFonts w:ascii="time" w:hAnsi="time" w:hint="eastAsia"/>
        </w:rPr>
        <w:t>届毕业生校园招聘情况</w:t>
      </w:r>
      <w:bookmarkEnd w:id="51"/>
    </w:p>
    <w:p w:rsidR="00603F28" w:rsidRDefault="00041260">
      <w:pPr>
        <w:pStyle w:val="2"/>
      </w:pPr>
      <w:bookmarkStart w:id="52" w:name="_Toc27642611"/>
      <w:r>
        <w:rPr>
          <w:rFonts w:hint="eastAsia"/>
        </w:rPr>
        <w:t>一、校园招聘开展情况</w:t>
      </w:r>
      <w:bookmarkEnd w:id="52"/>
    </w:p>
    <w:p w:rsidR="00603F28" w:rsidRDefault="00041260">
      <w:pPr>
        <w:ind w:firstLineChars="200" w:firstLine="420"/>
      </w:pPr>
      <w:r>
        <w:rPr>
          <w:rFonts w:hint="eastAsia"/>
        </w:rPr>
        <w:t>201</w:t>
      </w:r>
      <w:r>
        <w:t>8</w:t>
      </w:r>
      <w:r>
        <w:rPr>
          <w:rFonts w:hint="eastAsia"/>
        </w:rPr>
        <w:t>年</w:t>
      </w:r>
      <w:r>
        <w:rPr>
          <w:rFonts w:hint="eastAsia"/>
        </w:rPr>
        <w:t>9</w:t>
      </w:r>
      <w:r>
        <w:rPr>
          <w:rFonts w:hint="eastAsia"/>
        </w:rPr>
        <w:t>月至</w:t>
      </w:r>
      <w:r>
        <w:rPr>
          <w:rFonts w:hint="eastAsia"/>
        </w:rPr>
        <w:t>201</w:t>
      </w:r>
      <w:r>
        <w:t>9</w:t>
      </w:r>
      <w:r>
        <w:rPr>
          <w:rFonts w:hint="eastAsia"/>
        </w:rPr>
        <w:t>年</w:t>
      </w:r>
      <w:r>
        <w:rPr>
          <w:rFonts w:hint="eastAsia"/>
        </w:rPr>
        <w:t>6</w:t>
      </w:r>
      <w:r>
        <w:rPr>
          <w:rFonts w:hint="eastAsia"/>
        </w:rPr>
        <w:t>月间，学校共为毕业生举办含政府、行业协会、人才机构牵头组团企业进校招聘在内的大中型供需见面会</w:t>
      </w:r>
      <w:r>
        <w:rPr>
          <w:rFonts w:hint="eastAsia"/>
        </w:rPr>
        <w:t>1</w:t>
      </w:r>
      <w:r>
        <w:t>5</w:t>
      </w:r>
      <w:r>
        <w:rPr>
          <w:rFonts w:hint="eastAsia"/>
        </w:rPr>
        <w:t>场，参与专场招聘会的企业有</w:t>
      </w:r>
      <w:r>
        <w:rPr>
          <w:rFonts w:hint="eastAsia"/>
        </w:rPr>
        <w:t>912</w:t>
      </w:r>
      <w:r>
        <w:rPr>
          <w:rFonts w:hint="eastAsia"/>
        </w:rPr>
        <w:t>家（</w:t>
      </w:r>
      <w:r>
        <w:rPr>
          <w:rFonts w:hint="eastAsia"/>
        </w:rPr>
        <w:t>2018</w:t>
      </w:r>
      <w:r>
        <w:rPr>
          <w:rFonts w:hint="eastAsia"/>
        </w:rPr>
        <w:t>届为</w:t>
      </w:r>
      <w:r>
        <w:rPr>
          <w:rFonts w:hint="eastAsia"/>
        </w:rPr>
        <w:t>819</w:t>
      </w:r>
      <w:r>
        <w:rPr>
          <w:rFonts w:hint="eastAsia"/>
        </w:rPr>
        <w:t>家）。</w:t>
      </w:r>
    </w:p>
    <w:p w:rsidR="00603F28" w:rsidRDefault="00041260">
      <w:pPr>
        <w:pStyle w:val="a3"/>
      </w:pPr>
      <w:r>
        <w:rPr>
          <w:rFonts w:hint="eastAsia"/>
        </w:rPr>
        <w:t>表</w:t>
      </w:r>
      <w:r>
        <w:rPr>
          <w:rFonts w:hint="eastAsia"/>
        </w:rPr>
        <w:t>2-</w:t>
      </w:r>
      <w:r>
        <w:fldChar w:fldCharType="begin"/>
      </w:r>
      <w:r>
        <w:rPr>
          <w:rFonts w:hint="eastAsia"/>
        </w:rPr>
        <w:instrText xml:space="preserve">SEQ </w:instrText>
      </w:r>
      <w:r>
        <w:rPr>
          <w:rFonts w:hint="eastAsia"/>
        </w:rPr>
        <w:instrText>表</w:instrText>
      </w:r>
      <w:r>
        <w:rPr>
          <w:rFonts w:hint="eastAsia"/>
        </w:rPr>
        <w:instrText>2- \* ARABIC</w:instrText>
      </w:r>
      <w:r>
        <w:fldChar w:fldCharType="separate"/>
      </w:r>
      <w:r>
        <w:t>1</w:t>
      </w:r>
      <w:r>
        <w:fldChar w:fldCharType="end"/>
      </w:r>
      <w:r>
        <w:rPr>
          <w:rFonts w:hint="eastAsia"/>
        </w:rPr>
        <w:t>201</w:t>
      </w:r>
      <w:r>
        <w:t>9</w:t>
      </w:r>
      <w:r>
        <w:rPr>
          <w:rFonts w:hint="eastAsia"/>
        </w:rPr>
        <w:t>届本科毕业生大中型校园招聘会一览表</w:t>
      </w:r>
    </w:p>
    <w:tbl>
      <w:tblPr>
        <w:tblW w:w="0" w:type="auto"/>
        <w:tblInd w:w="-5" w:type="dxa"/>
        <w:tblLook w:val="04A0" w:firstRow="1" w:lastRow="0" w:firstColumn="1" w:lastColumn="0" w:noHBand="0" w:noVBand="1"/>
      </w:tblPr>
      <w:tblGrid>
        <w:gridCol w:w="709"/>
        <w:gridCol w:w="2872"/>
        <w:gridCol w:w="1116"/>
        <w:gridCol w:w="1437"/>
        <w:gridCol w:w="812"/>
        <w:gridCol w:w="1355"/>
      </w:tblGrid>
      <w:tr w:rsidR="00603F28">
        <w:trPr>
          <w:trHeight w:val="300"/>
          <w:tblHeader/>
        </w:trPr>
        <w:tc>
          <w:tcPr>
            <w:tcW w:w="709" w:type="dxa"/>
            <w:tcBorders>
              <w:top w:val="single" w:sz="4" w:space="0" w:color="auto"/>
              <w:left w:val="single" w:sz="4" w:space="0" w:color="auto"/>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872" w:type="dxa"/>
            <w:tcBorders>
              <w:top w:val="single" w:sz="4" w:space="0" w:color="auto"/>
              <w:left w:val="nil"/>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名称</w:t>
            </w:r>
          </w:p>
        </w:tc>
        <w:tc>
          <w:tcPr>
            <w:tcW w:w="0" w:type="auto"/>
            <w:tcBorders>
              <w:top w:val="single" w:sz="4" w:space="0" w:color="auto"/>
              <w:left w:val="nil"/>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时间</w:t>
            </w:r>
          </w:p>
        </w:tc>
        <w:tc>
          <w:tcPr>
            <w:tcW w:w="0" w:type="auto"/>
            <w:tcBorders>
              <w:top w:val="single" w:sz="4" w:space="0" w:color="auto"/>
              <w:left w:val="nil"/>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地点</w:t>
            </w:r>
          </w:p>
        </w:tc>
        <w:tc>
          <w:tcPr>
            <w:tcW w:w="812" w:type="dxa"/>
            <w:tcBorders>
              <w:top w:val="single" w:sz="4" w:space="0" w:color="auto"/>
              <w:left w:val="nil"/>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企业数</w:t>
            </w:r>
          </w:p>
        </w:tc>
        <w:tc>
          <w:tcPr>
            <w:tcW w:w="1355" w:type="dxa"/>
            <w:tcBorders>
              <w:top w:val="single" w:sz="4" w:space="0" w:color="auto"/>
              <w:left w:val="nil"/>
              <w:bottom w:val="single" w:sz="4" w:space="0" w:color="auto"/>
              <w:right w:val="single" w:sz="4" w:space="0" w:color="auto"/>
            </w:tcBorders>
            <w:shd w:val="clear" w:color="000000" w:fill="D00E2C"/>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备注</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陆家嘴金融城名校直通车——江西财经大学专场</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2018/9/28</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陆家嘴金融城发展局</w:t>
            </w:r>
          </w:p>
        </w:tc>
      </w:tr>
      <w:tr w:rsidR="00603F28">
        <w:trPr>
          <w:trHeight w:val="45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江西省人才市场校招——江西财经大学综合场</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2018/9/29</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江西省人才市场</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杭州“行天下”江西财经大学校园专场招聘会</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2018/10/12</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杭州人才市场</w:t>
            </w:r>
          </w:p>
        </w:tc>
      </w:tr>
      <w:tr w:rsidR="00603F28">
        <w:trPr>
          <w:trHeight w:val="45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厦门市人才服务中心——江西财经大学专场</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2018/10/14</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厦门市人才服务中心</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深圳市罗湖区人力资源局组织辖区企业政校行企校园招聘会</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2018/10/18</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深圳市罗湖区人力资源局</w:t>
            </w:r>
          </w:p>
        </w:tc>
      </w:tr>
      <w:tr w:rsidR="00603F28">
        <w:trPr>
          <w:trHeight w:val="675"/>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深圳市龙岗区坪地街道人力资源服务中心“百校行”——江西财经大学专场</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2018/10/24</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深圳市龙岗区坪地街道人力资源服务中心</w:t>
            </w:r>
          </w:p>
        </w:tc>
      </w:tr>
      <w:tr w:rsidR="00603F28">
        <w:trPr>
          <w:trHeight w:val="675"/>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佛山市南海区“广纳英才·智汇南海”高校招才引智系列活动——江西财经大学专场</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2018/10/29</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佛山市南海区人才服务管理办公室</w:t>
            </w:r>
          </w:p>
        </w:tc>
      </w:tr>
      <w:tr w:rsidR="00603F28">
        <w:trPr>
          <w:trHeight w:val="45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w:t>
            </w:r>
            <w:r>
              <w:rPr>
                <w:rFonts w:ascii="黑体" w:eastAsia="黑体" w:hAnsi="黑体" w:cs="Calibri" w:hint="eastAsia"/>
                <w:kern w:val="0"/>
                <w:sz w:val="18"/>
                <w:szCs w:val="18"/>
              </w:rPr>
              <w:t>2019</w:t>
            </w:r>
            <w:r>
              <w:rPr>
                <w:rFonts w:ascii="黑体" w:eastAsia="黑体" w:hAnsi="黑体" w:cs="Calibri" w:hint="eastAsia"/>
                <w:kern w:val="0"/>
                <w:sz w:val="18"/>
                <w:szCs w:val="18"/>
              </w:rPr>
              <w:t>届普通高校毕业生</w:t>
            </w:r>
            <w:r>
              <w:rPr>
                <w:rFonts w:ascii="黑体" w:eastAsia="黑体" w:hAnsi="黑体" w:cs="Calibri" w:hint="eastAsia"/>
                <w:kern w:val="0"/>
                <w:sz w:val="18"/>
                <w:szCs w:val="18"/>
              </w:rPr>
              <w:t xml:space="preserve"> </w:t>
            </w:r>
            <w:r>
              <w:rPr>
                <w:rFonts w:ascii="黑体" w:eastAsia="黑体" w:hAnsi="黑体" w:cs="Calibri" w:hint="eastAsia"/>
                <w:kern w:val="0"/>
                <w:sz w:val="18"/>
                <w:szCs w:val="18"/>
              </w:rPr>
              <w:t>“互联网</w:t>
            </w:r>
            <w:r>
              <w:rPr>
                <w:rFonts w:ascii="黑体" w:eastAsia="黑体" w:hAnsi="黑体" w:cs="Calibri" w:hint="eastAsia"/>
                <w:kern w:val="0"/>
                <w:sz w:val="18"/>
                <w:szCs w:val="18"/>
              </w:rPr>
              <w:t>+</w:t>
            </w:r>
            <w:r>
              <w:rPr>
                <w:rFonts w:ascii="黑体" w:eastAsia="黑体" w:hAnsi="黑体" w:cs="Calibri" w:hint="eastAsia"/>
                <w:kern w:val="0"/>
                <w:sz w:val="18"/>
                <w:szCs w:val="18"/>
              </w:rPr>
              <w:t>”财经类专场就业招聘会</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2018/11/3</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蛟桥园北区崛起广场</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210</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江西省教育厅</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江西财经大学经济学院第四届“上市公司”人才专场招聘会</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2018/11/23</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江西财经大学蛟桥园北区大礼堂前厅</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24</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江西财经大学经济学院</w:t>
            </w:r>
          </w:p>
        </w:tc>
      </w:tr>
      <w:tr w:rsidR="00603F28">
        <w:trPr>
          <w:trHeight w:val="45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 xml:space="preserve"> </w:t>
            </w:r>
            <w:r>
              <w:rPr>
                <w:rFonts w:ascii="黑体" w:eastAsia="黑体" w:hAnsi="黑体" w:cs="Calibri" w:hint="eastAsia"/>
                <w:kern w:val="0"/>
                <w:sz w:val="18"/>
                <w:szCs w:val="18"/>
              </w:rPr>
              <w:t>赣江新区“新区企业进校园，江西财经大学招聘会”</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2019/3/17</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赣江新区工委人才局</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江西财经大学工商管理学院——</w:t>
            </w:r>
            <w:r>
              <w:rPr>
                <w:rFonts w:ascii="黑体" w:eastAsia="黑体" w:hAnsi="黑体" w:cs="Calibri" w:hint="eastAsia"/>
                <w:kern w:val="0"/>
                <w:sz w:val="18"/>
                <w:szCs w:val="18"/>
              </w:rPr>
              <w:t>MBA</w:t>
            </w:r>
            <w:r>
              <w:rPr>
                <w:rFonts w:ascii="黑体" w:eastAsia="黑体" w:hAnsi="黑体" w:cs="Calibri" w:hint="eastAsia"/>
                <w:kern w:val="0"/>
                <w:sz w:val="18"/>
                <w:szCs w:val="18"/>
              </w:rPr>
              <w:t>校友专场招聘会暨创业论坛</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2019/3/23</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江西财经大学工商管理学院</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106</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江西财经大学工商管理学院</w:t>
            </w:r>
          </w:p>
        </w:tc>
      </w:tr>
      <w:tr w:rsidR="00603F28">
        <w:trPr>
          <w:trHeight w:val="45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肇庆市国资委系统国有企业春季招聘会</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2019/3/26</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肇庆市国资委</w:t>
            </w:r>
          </w:p>
        </w:tc>
      </w:tr>
      <w:tr w:rsidR="00603F28">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赣鄱名企专场人才招聘会（江西名企专场招聘会）</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2019/3/29</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101</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江西财经大学招生就业处</w:t>
            </w:r>
          </w:p>
        </w:tc>
      </w:tr>
      <w:tr w:rsidR="00603F28">
        <w:trPr>
          <w:trHeight w:val="300"/>
        </w:trPr>
        <w:tc>
          <w:tcPr>
            <w:tcW w:w="709" w:type="dxa"/>
            <w:tcBorders>
              <w:top w:val="nil"/>
              <w:left w:val="single" w:sz="4" w:space="0" w:color="auto"/>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87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w:t>
            </w:r>
            <w:r>
              <w:rPr>
                <w:rFonts w:ascii="黑体" w:eastAsia="黑体" w:hAnsi="黑体" w:cs="Calibri" w:hint="eastAsia"/>
                <w:kern w:val="0"/>
                <w:sz w:val="18"/>
                <w:szCs w:val="18"/>
              </w:rPr>
              <w:t>届毕业生春季专场招聘会</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2019/4/12</w:t>
            </w:r>
          </w:p>
        </w:tc>
        <w:tc>
          <w:tcPr>
            <w:tcW w:w="0" w:type="auto"/>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w:t>
            </w:r>
            <w:r>
              <w:rPr>
                <w:rFonts w:ascii="黑体" w:eastAsia="黑体" w:hAnsi="黑体" w:cs="Calibri" w:hint="eastAsia"/>
                <w:kern w:val="0"/>
                <w:sz w:val="18"/>
                <w:szCs w:val="18"/>
              </w:rPr>
              <w:lastRenderedPageBreak/>
              <w:t>心</w:t>
            </w:r>
          </w:p>
        </w:tc>
        <w:tc>
          <w:tcPr>
            <w:tcW w:w="812"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112</w:t>
            </w:r>
          </w:p>
        </w:tc>
        <w:tc>
          <w:tcPr>
            <w:tcW w:w="1355" w:type="dxa"/>
            <w:tcBorders>
              <w:top w:val="nil"/>
              <w:left w:val="nil"/>
              <w:bottom w:val="single" w:sz="4" w:space="0" w:color="auto"/>
              <w:right w:val="single" w:sz="4" w:space="0" w:color="auto"/>
            </w:tcBorders>
            <w:shd w:val="clear" w:color="000000" w:fill="FFE5E5"/>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江西财经大学</w:t>
            </w:r>
            <w:r>
              <w:rPr>
                <w:rFonts w:ascii="黑体" w:eastAsia="黑体" w:hAnsi="黑体" w:cs="Calibri" w:hint="eastAsia"/>
                <w:kern w:val="0"/>
                <w:sz w:val="18"/>
                <w:szCs w:val="18"/>
              </w:rPr>
              <w:lastRenderedPageBreak/>
              <w:t>招生就业处</w:t>
            </w:r>
          </w:p>
        </w:tc>
      </w:tr>
      <w:tr w:rsidR="00603F28">
        <w:trPr>
          <w:trHeight w:val="300"/>
        </w:trPr>
        <w:tc>
          <w:tcPr>
            <w:tcW w:w="709" w:type="dxa"/>
            <w:tcBorders>
              <w:top w:val="nil"/>
              <w:left w:val="single" w:sz="4" w:space="0" w:color="auto"/>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lastRenderedPageBreak/>
              <w:t>15</w:t>
            </w:r>
          </w:p>
        </w:tc>
        <w:tc>
          <w:tcPr>
            <w:tcW w:w="287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厦门企业专场招聘会</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2019/4/25</w:t>
            </w:r>
          </w:p>
        </w:tc>
        <w:tc>
          <w:tcPr>
            <w:tcW w:w="0" w:type="auto"/>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南区大学生活动中心</w:t>
            </w:r>
          </w:p>
        </w:tc>
        <w:tc>
          <w:tcPr>
            <w:tcW w:w="812"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1355" w:type="dxa"/>
            <w:tcBorders>
              <w:top w:val="nil"/>
              <w:left w:val="nil"/>
              <w:bottom w:val="single" w:sz="4" w:space="0" w:color="auto"/>
              <w:right w:val="single" w:sz="4" w:space="0" w:color="auto"/>
            </w:tcBorders>
            <w:shd w:val="clear" w:color="auto" w:fill="auto"/>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厦门市人才服务中心</w:t>
            </w:r>
          </w:p>
        </w:tc>
      </w:tr>
    </w:tbl>
    <w:p w:rsidR="00603F28" w:rsidRDefault="00041260">
      <w:pPr>
        <w:pStyle w:val="2"/>
      </w:pPr>
      <w:bookmarkStart w:id="53" w:name="_Toc27642612"/>
      <w:r>
        <w:rPr>
          <w:rFonts w:hint="eastAsia"/>
        </w:rPr>
        <w:t>二、</w:t>
      </w:r>
      <w:r>
        <w:t>专场招聘</w:t>
      </w:r>
      <w:r>
        <w:rPr>
          <w:rFonts w:hint="eastAsia"/>
        </w:rPr>
        <w:t>企业</w:t>
      </w:r>
      <w:r>
        <w:t>行业</w:t>
      </w:r>
      <w:bookmarkEnd w:id="53"/>
    </w:p>
    <w:p w:rsidR="00603F28" w:rsidRDefault="00041260">
      <w:pPr>
        <w:pStyle w:val="aff8"/>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912</w:t>
      </w:r>
      <w:r>
        <w:rPr>
          <w:rFonts w:ascii="Times New Roman" w:eastAsia="宋体" w:hAnsi="Times New Roman" w:cs="Times New Roman" w:hint="eastAsia"/>
          <w:sz w:val="21"/>
          <w:szCs w:val="21"/>
        </w:rPr>
        <w:t>家</w:t>
      </w:r>
      <w:r>
        <w:rPr>
          <w:rFonts w:ascii="Times New Roman" w:eastAsia="宋体" w:hAnsi="Times New Roman" w:cs="Times New Roman"/>
          <w:sz w:val="21"/>
          <w:szCs w:val="21"/>
        </w:rPr>
        <w:t>校园专场招聘会中的企业行业</w:t>
      </w:r>
      <w:r>
        <w:rPr>
          <w:rFonts w:ascii="Times New Roman" w:eastAsia="宋体" w:hAnsi="Times New Roman" w:cs="Times New Roman" w:hint="eastAsia"/>
          <w:sz w:val="21"/>
          <w:szCs w:val="21"/>
        </w:rPr>
        <w:t>以</w:t>
      </w:r>
      <w:r>
        <w:rPr>
          <w:rFonts w:ascii="Times New Roman" w:eastAsia="宋体" w:hAnsi="Times New Roman" w:cs="Times New Roman"/>
          <w:sz w:val="21"/>
          <w:szCs w:val="21"/>
        </w:rPr>
        <w:t>金融业</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174</w:t>
      </w:r>
      <w:r>
        <w:rPr>
          <w:rFonts w:ascii="Times New Roman" w:eastAsia="宋体" w:hAnsi="Times New Roman" w:cs="Times New Roman" w:hint="eastAsia"/>
          <w:sz w:val="21"/>
          <w:szCs w:val="21"/>
        </w:rPr>
        <w:t>家）</w:t>
      </w:r>
      <w:r>
        <w:rPr>
          <w:rFonts w:ascii="Times New Roman" w:eastAsia="宋体" w:hAnsi="Times New Roman" w:cs="Times New Roman"/>
          <w:sz w:val="21"/>
          <w:szCs w:val="21"/>
        </w:rPr>
        <w:t>、</w:t>
      </w:r>
      <w:r>
        <w:rPr>
          <w:rFonts w:ascii="Times New Roman" w:eastAsia="宋体" w:hAnsi="Times New Roman" w:cs="Times New Roman" w:hint="eastAsia"/>
          <w:sz w:val="21"/>
          <w:szCs w:val="21"/>
        </w:rPr>
        <w:t>制造业（</w:t>
      </w:r>
      <w:r>
        <w:rPr>
          <w:rFonts w:ascii="Times New Roman" w:eastAsia="宋体" w:hAnsi="Times New Roman" w:cs="Times New Roman" w:hint="eastAsia"/>
          <w:sz w:val="21"/>
          <w:szCs w:val="21"/>
        </w:rPr>
        <w:t>174</w:t>
      </w:r>
      <w:r>
        <w:rPr>
          <w:rFonts w:ascii="Times New Roman" w:eastAsia="宋体" w:hAnsi="Times New Roman" w:cs="Times New Roman" w:hint="eastAsia"/>
          <w:sz w:val="21"/>
          <w:szCs w:val="21"/>
        </w:rPr>
        <w:t>家）、</w:t>
      </w:r>
      <w:r>
        <w:rPr>
          <w:rFonts w:ascii="Times New Roman" w:eastAsia="宋体" w:hAnsi="Times New Roman" w:cs="Times New Roman"/>
          <w:sz w:val="21"/>
          <w:szCs w:val="21"/>
        </w:rPr>
        <w:t>批发和零售业</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115</w:t>
      </w:r>
      <w:r>
        <w:rPr>
          <w:rFonts w:ascii="Times New Roman" w:eastAsia="宋体" w:hAnsi="Times New Roman" w:cs="Times New Roman" w:hint="eastAsia"/>
          <w:sz w:val="21"/>
          <w:szCs w:val="21"/>
        </w:rPr>
        <w:t>家）以及建筑业（</w:t>
      </w:r>
      <w:r>
        <w:rPr>
          <w:rFonts w:ascii="Times New Roman" w:eastAsia="宋体" w:hAnsi="Times New Roman" w:cs="Times New Roman" w:hint="eastAsia"/>
          <w:sz w:val="21"/>
          <w:szCs w:val="21"/>
        </w:rPr>
        <w:t>110</w:t>
      </w:r>
      <w:r>
        <w:rPr>
          <w:rFonts w:ascii="Times New Roman" w:eastAsia="宋体" w:hAnsi="Times New Roman" w:cs="Times New Roman" w:hint="eastAsia"/>
          <w:sz w:val="21"/>
          <w:szCs w:val="21"/>
        </w:rPr>
        <w:t>家）居多。</w:t>
      </w:r>
    </w:p>
    <w:p w:rsidR="00603F28" w:rsidRDefault="00041260">
      <w:pPr>
        <w:pStyle w:val="a3"/>
        <w:keepNext/>
      </w:pPr>
      <w:r>
        <w:rPr>
          <w:rFonts w:hint="eastAsia"/>
        </w:rPr>
        <w:t>表</w:t>
      </w:r>
      <w:r>
        <w:rPr>
          <w:rFonts w:hint="eastAsia"/>
        </w:rPr>
        <w:t>2-</w:t>
      </w:r>
      <w:r>
        <w:fldChar w:fldCharType="begin"/>
      </w:r>
      <w:r>
        <w:rPr>
          <w:rFonts w:hint="eastAsia"/>
        </w:rPr>
        <w:instrText xml:space="preserve">SEQ </w:instrText>
      </w:r>
      <w:r>
        <w:rPr>
          <w:rFonts w:hint="eastAsia"/>
        </w:rPr>
        <w:instrText>表</w:instrText>
      </w:r>
      <w:r>
        <w:rPr>
          <w:rFonts w:hint="eastAsia"/>
        </w:rPr>
        <w:instrText>2- \* ARABIC</w:instrText>
      </w:r>
      <w:r>
        <w:fldChar w:fldCharType="separate"/>
      </w:r>
      <w:r>
        <w:t>2</w:t>
      </w:r>
      <w:r>
        <w:fldChar w:fldCharType="end"/>
      </w:r>
      <w:r>
        <w:t xml:space="preserve">  2019</w:t>
      </w:r>
      <w:r>
        <w:rPr>
          <w:rFonts w:hint="eastAsia"/>
        </w:rPr>
        <w:t>届专场招聘会企业行业</w:t>
      </w:r>
    </w:p>
    <w:tbl>
      <w:tblPr>
        <w:tblW w:w="5468" w:type="pct"/>
        <w:tblInd w:w="-431" w:type="dxa"/>
        <w:tblLook w:val="04A0" w:firstRow="1" w:lastRow="0" w:firstColumn="1" w:lastColumn="0" w:noHBand="0" w:noVBand="1"/>
      </w:tblPr>
      <w:tblGrid>
        <w:gridCol w:w="3171"/>
        <w:gridCol w:w="534"/>
        <w:gridCol w:w="534"/>
        <w:gridCol w:w="625"/>
        <w:gridCol w:w="628"/>
        <w:gridCol w:w="533"/>
        <w:gridCol w:w="533"/>
        <w:gridCol w:w="533"/>
        <w:gridCol w:w="533"/>
        <w:gridCol w:w="533"/>
        <w:gridCol w:w="916"/>
      </w:tblGrid>
      <w:tr w:rsidR="00603F28">
        <w:trPr>
          <w:trHeight w:val="300"/>
        </w:trPr>
        <w:tc>
          <w:tcPr>
            <w:tcW w:w="1747" w:type="pct"/>
            <w:vMerge w:val="restar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所属行业</w:t>
            </w:r>
          </w:p>
        </w:tc>
        <w:tc>
          <w:tcPr>
            <w:tcW w:w="1278" w:type="pct"/>
            <w:gridSpan w:val="4"/>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2018</w:t>
            </w:r>
            <w:r>
              <w:rPr>
                <w:rFonts w:ascii="黑体" w:eastAsia="黑体" w:hAnsi="黑体" w:cs="Calibri" w:hint="eastAsia"/>
                <w:b/>
                <w:bCs/>
                <w:color w:val="FFFFFF"/>
                <w:kern w:val="0"/>
                <w:sz w:val="18"/>
                <w:szCs w:val="18"/>
              </w:rPr>
              <w:t>年</w:t>
            </w:r>
          </w:p>
        </w:tc>
        <w:tc>
          <w:tcPr>
            <w:tcW w:w="1469" w:type="pct"/>
            <w:gridSpan w:val="5"/>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2019</w:t>
            </w:r>
            <w:r>
              <w:rPr>
                <w:rFonts w:ascii="黑体" w:eastAsia="黑体" w:hAnsi="黑体" w:cs="Calibri" w:hint="eastAsia"/>
                <w:b/>
                <w:bCs/>
                <w:color w:val="FFFFFF"/>
                <w:kern w:val="0"/>
                <w:sz w:val="18"/>
                <w:szCs w:val="18"/>
              </w:rPr>
              <w:t>年</w:t>
            </w:r>
          </w:p>
        </w:tc>
        <w:tc>
          <w:tcPr>
            <w:tcW w:w="506" w:type="pct"/>
            <w:vMerge w:val="restar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r>
      <w:tr w:rsidR="00603F28">
        <w:trPr>
          <w:trHeight w:val="300"/>
        </w:trPr>
        <w:tc>
          <w:tcPr>
            <w:tcW w:w="1747"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b/>
                <w:bCs/>
                <w:color w:val="FFFFFF"/>
                <w:kern w:val="0"/>
                <w:sz w:val="18"/>
                <w:szCs w:val="18"/>
              </w:rPr>
            </w:pP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9</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w:t>
            </w:r>
            <w:r>
              <w:rPr>
                <w:rFonts w:ascii="黑体" w:eastAsia="黑体" w:hAnsi="黑体" w:cs="Calibri" w:hint="eastAsia"/>
                <w:b/>
                <w:bCs/>
                <w:color w:val="FFFFFF"/>
                <w:kern w:val="0"/>
                <w:sz w:val="18"/>
                <w:szCs w:val="18"/>
              </w:rPr>
              <w:t>月</w:t>
            </w:r>
          </w:p>
        </w:tc>
        <w:tc>
          <w:tcPr>
            <w:tcW w:w="34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11</w:t>
            </w:r>
            <w:r>
              <w:rPr>
                <w:rFonts w:ascii="黑体" w:eastAsia="黑体" w:hAnsi="黑体" w:cs="Calibri" w:hint="eastAsia"/>
                <w:b/>
                <w:bCs/>
                <w:color w:val="FFFFFF"/>
                <w:kern w:val="0"/>
                <w:sz w:val="18"/>
                <w:szCs w:val="18"/>
              </w:rPr>
              <w:t>月</w:t>
            </w:r>
          </w:p>
        </w:tc>
        <w:tc>
          <w:tcPr>
            <w:tcW w:w="345"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12</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4</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5</w:t>
            </w:r>
            <w:r>
              <w:rPr>
                <w:rFonts w:ascii="黑体" w:eastAsia="黑体" w:hAnsi="黑体" w:cs="Calibri" w:hint="eastAsia"/>
                <w:b/>
                <w:bCs/>
                <w:color w:val="FFFFFF"/>
                <w:kern w:val="0"/>
                <w:sz w:val="18"/>
                <w:szCs w:val="18"/>
              </w:rPr>
              <w:t>月</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6</w:t>
            </w:r>
            <w:r>
              <w:rPr>
                <w:rFonts w:ascii="黑体" w:eastAsia="黑体" w:hAnsi="黑体" w:cs="Calibri" w:hint="eastAsia"/>
                <w:b/>
                <w:bCs/>
                <w:color w:val="FFFFFF"/>
                <w:kern w:val="0"/>
                <w:sz w:val="18"/>
                <w:szCs w:val="18"/>
              </w:rPr>
              <w:t>月</w:t>
            </w:r>
          </w:p>
        </w:tc>
        <w:tc>
          <w:tcPr>
            <w:tcW w:w="506" w:type="pct"/>
            <w:vMerge/>
            <w:tcBorders>
              <w:top w:val="single" w:sz="4" w:space="0" w:color="auto"/>
              <w:left w:val="single" w:sz="4" w:space="0" w:color="auto"/>
              <w:bottom w:val="single" w:sz="4" w:space="0" w:color="auto"/>
              <w:right w:val="single" w:sz="4" w:space="0" w:color="auto"/>
            </w:tcBorders>
            <w:vAlign w:val="center"/>
          </w:tcPr>
          <w:p w:rsidR="00603F28" w:rsidRDefault="00603F28">
            <w:pPr>
              <w:widowControl/>
              <w:spacing w:line="240" w:lineRule="auto"/>
              <w:jc w:val="left"/>
              <w:rPr>
                <w:rFonts w:ascii="黑体" w:eastAsia="黑体" w:hAnsi="黑体" w:cs="Calibri"/>
                <w:b/>
                <w:bCs/>
                <w:color w:val="FFFFFF"/>
                <w:kern w:val="0"/>
                <w:sz w:val="18"/>
                <w:szCs w:val="18"/>
              </w:rPr>
            </w:pP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金融业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26</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42</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34</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7</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36</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18</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8</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174</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制造业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28</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174</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批发和零售业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9</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43</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30</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17</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8</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115</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建筑业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110</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信息传输、软件和信息技术服务业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9</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23</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14</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24</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7</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82</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房地产业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教育</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7</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12</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10</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15</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10</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55</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交通运输、仓储和邮政业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租赁和商务服务业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5</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11</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7</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9</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35</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农、林、牧、渔业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住宿和餐饮业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14</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电力、热力、燃气及水生产和供应业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水利、环境和公共设施管理业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4</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9</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文化、体育和娱乐业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公共管理、社会保障和社会组织</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6</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科学研究和技术服务业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采矿业</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r>
      <w:tr w:rsidR="00603F28">
        <w:trPr>
          <w:trHeight w:val="300"/>
        </w:trPr>
        <w:tc>
          <w:tcPr>
            <w:tcW w:w="1747"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居民服务、修理和其他服务业</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34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4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29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50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r>
      <w:tr w:rsidR="00603F28">
        <w:trPr>
          <w:trHeight w:val="300"/>
        </w:trPr>
        <w:tc>
          <w:tcPr>
            <w:tcW w:w="1747"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卫生和社会工作</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1</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34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34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2</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29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w:t>
            </w:r>
          </w:p>
        </w:tc>
        <w:tc>
          <w:tcPr>
            <w:tcW w:w="50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color w:val="000000"/>
                <w:kern w:val="0"/>
                <w:sz w:val="18"/>
                <w:szCs w:val="18"/>
              </w:rPr>
            </w:pPr>
            <w:r>
              <w:rPr>
                <w:rFonts w:ascii="黑体" w:eastAsia="黑体" w:hAnsi="黑体" w:cs="Calibri" w:hint="eastAsia"/>
                <w:color w:val="000000"/>
                <w:kern w:val="0"/>
                <w:sz w:val="18"/>
                <w:szCs w:val="18"/>
              </w:rPr>
              <w:t>3</w:t>
            </w:r>
          </w:p>
        </w:tc>
      </w:tr>
      <w:tr w:rsidR="00603F28">
        <w:trPr>
          <w:trHeight w:val="300"/>
        </w:trPr>
        <w:tc>
          <w:tcPr>
            <w:tcW w:w="1747" w:type="pct"/>
            <w:tcBorders>
              <w:top w:val="nil"/>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总计</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146</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252</w:t>
            </w:r>
          </w:p>
        </w:tc>
        <w:tc>
          <w:tcPr>
            <w:tcW w:w="34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183</w:t>
            </w:r>
          </w:p>
        </w:tc>
        <w:tc>
          <w:tcPr>
            <w:tcW w:w="345"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8</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219</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69</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24</w:t>
            </w:r>
          </w:p>
        </w:tc>
        <w:tc>
          <w:tcPr>
            <w:tcW w:w="294"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3</w:t>
            </w:r>
          </w:p>
        </w:tc>
        <w:tc>
          <w:tcPr>
            <w:tcW w:w="506" w:type="pct"/>
            <w:tcBorders>
              <w:top w:val="nil"/>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912</w:t>
            </w:r>
          </w:p>
        </w:tc>
      </w:tr>
    </w:tbl>
    <w:p w:rsidR="00603F28" w:rsidRDefault="00041260">
      <w:pPr>
        <w:pStyle w:val="2"/>
      </w:pPr>
      <w:bookmarkStart w:id="54" w:name="_Toc27642613"/>
      <w:r>
        <w:t>三、专场招聘会企业所在地</w:t>
      </w:r>
      <w:bookmarkEnd w:id="54"/>
    </w:p>
    <w:p w:rsidR="00603F28" w:rsidRDefault="00041260">
      <w:pPr>
        <w:pStyle w:val="aff8"/>
        <w:spacing w:line="360" w:lineRule="auto"/>
        <w:ind w:firstLine="420"/>
        <w:rPr>
          <w:rFonts w:ascii="Times New Roman" w:eastAsia="宋体" w:hAnsi="Times New Roman" w:cs="Times New Roman"/>
          <w:sz w:val="21"/>
        </w:rPr>
      </w:pPr>
      <w:r>
        <w:rPr>
          <w:rFonts w:ascii="Times New Roman" w:eastAsia="宋体" w:hAnsi="Times New Roman" w:cs="Times New Roman" w:hint="eastAsia"/>
          <w:sz w:val="21"/>
        </w:rPr>
        <w:t>专场招聘</w:t>
      </w:r>
      <w:r>
        <w:rPr>
          <w:rFonts w:ascii="Times New Roman" w:eastAsia="宋体" w:hAnsi="Times New Roman" w:cs="Times New Roman"/>
          <w:sz w:val="21"/>
        </w:rPr>
        <w:t>会中</w:t>
      </w:r>
      <w:r>
        <w:rPr>
          <w:rFonts w:ascii="Times New Roman" w:eastAsia="宋体" w:hAnsi="Times New Roman" w:cs="Times New Roman" w:hint="eastAsia"/>
          <w:sz w:val="21"/>
        </w:rPr>
        <w:t>，企业</w:t>
      </w:r>
      <w:r>
        <w:rPr>
          <w:rFonts w:ascii="Times New Roman" w:eastAsia="宋体" w:hAnsi="Times New Roman" w:cs="Times New Roman"/>
          <w:sz w:val="21"/>
        </w:rPr>
        <w:t>所在地主要集中在广东</w:t>
      </w:r>
      <w:r>
        <w:rPr>
          <w:rFonts w:ascii="Times New Roman" w:eastAsia="宋体" w:hAnsi="Times New Roman" w:cs="Times New Roman" w:hint="eastAsia"/>
          <w:sz w:val="21"/>
        </w:rPr>
        <w:t>（</w:t>
      </w:r>
      <w:r>
        <w:rPr>
          <w:rFonts w:ascii="Times New Roman" w:eastAsia="宋体" w:hAnsi="Times New Roman" w:cs="Times New Roman" w:hint="eastAsia"/>
          <w:sz w:val="21"/>
        </w:rPr>
        <w:t>277</w:t>
      </w:r>
      <w:r>
        <w:rPr>
          <w:rFonts w:ascii="Times New Roman" w:eastAsia="宋体" w:hAnsi="Times New Roman" w:cs="Times New Roman" w:hint="eastAsia"/>
          <w:sz w:val="21"/>
        </w:rPr>
        <w:t>家）</w:t>
      </w:r>
      <w:r>
        <w:rPr>
          <w:rFonts w:ascii="Times New Roman" w:eastAsia="宋体" w:hAnsi="Times New Roman" w:cs="Times New Roman"/>
          <w:sz w:val="21"/>
        </w:rPr>
        <w:t>、江西</w:t>
      </w:r>
      <w:r>
        <w:rPr>
          <w:rFonts w:ascii="Times New Roman" w:eastAsia="宋体" w:hAnsi="Times New Roman" w:cs="Times New Roman" w:hint="eastAsia"/>
          <w:sz w:val="21"/>
        </w:rPr>
        <w:t>（</w:t>
      </w:r>
      <w:r>
        <w:rPr>
          <w:rFonts w:ascii="Times New Roman" w:eastAsia="宋体" w:hAnsi="Times New Roman" w:cs="Times New Roman" w:hint="eastAsia"/>
          <w:sz w:val="21"/>
        </w:rPr>
        <w:t>211</w:t>
      </w:r>
      <w:r>
        <w:rPr>
          <w:rFonts w:ascii="Times New Roman" w:eastAsia="宋体" w:hAnsi="Times New Roman" w:cs="Times New Roman" w:hint="eastAsia"/>
          <w:sz w:val="21"/>
        </w:rPr>
        <w:t>家）</w:t>
      </w:r>
      <w:r>
        <w:rPr>
          <w:rFonts w:ascii="Times New Roman" w:eastAsia="宋体" w:hAnsi="Times New Roman" w:cs="Times New Roman"/>
          <w:sz w:val="21"/>
        </w:rPr>
        <w:t>、</w:t>
      </w:r>
      <w:r>
        <w:rPr>
          <w:rFonts w:ascii="Times New Roman" w:eastAsia="宋体" w:hAnsi="Times New Roman" w:cs="Times New Roman" w:hint="eastAsia"/>
          <w:sz w:val="21"/>
        </w:rPr>
        <w:t>上海（</w:t>
      </w:r>
      <w:r>
        <w:rPr>
          <w:rFonts w:ascii="Times New Roman" w:eastAsia="宋体" w:hAnsi="Times New Roman" w:cs="Times New Roman" w:hint="eastAsia"/>
          <w:sz w:val="21"/>
        </w:rPr>
        <w:t>114</w:t>
      </w:r>
      <w:r>
        <w:rPr>
          <w:rFonts w:ascii="Times New Roman" w:eastAsia="宋体" w:hAnsi="Times New Roman" w:cs="Times New Roman" w:hint="eastAsia"/>
          <w:sz w:val="21"/>
        </w:rPr>
        <w:t>家）以及浙江（</w:t>
      </w:r>
      <w:r>
        <w:rPr>
          <w:rFonts w:ascii="Times New Roman" w:eastAsia="宋体" w:hAnsi="Times New Roman" w:cs="Times New Roman" w:hint="eastAsia"/>
          <w:sz w:val="21"/>
        </w:rPr>
        <w:t>108</w:t>
      </w:r>
      <w:r>
        <w:rPr>
          <w:rFonts w:ascii="Times New Roman" w:eastAsia="宋体" w:hAnsi="Times New Roman" w:cs="Times New Roman" w:hint="eastAsia"/>
          <w:sz w:val="21"/>
        </w:rPr>
        <w:t>家）</w:t>
      </w:r>
      <w:r>
        <w:rPr>
          <w:rFonts w:ascii="Times New Roman" w:eastAsia="宋体" w:hAnsi="Times New Roman" w:cs="Times New Roman"/>
          <w:sz w:val="21"/>
        </w:rPr>
        <w:t>。</w:t>
      </w:r>
    </w:p>
    <w:p w:rsidR="00603F28" w:rsidRDefault="00041260">
      <w:pPr>
        <w:keepNext/>
      </w:pPr>
      <w:r>
        <w:rPr>
          <w:noProof/>
        </w:rPr>
        <w:lastRenderedPageBreak/>
        <w:drawing>
          <wp:inline distT="0" distB="0" distL="0" distR="0">
            <wp:extent cx="5321935" cy="3022600"/>
            <wp:effectExtent l="0" t="0" r="0" b="63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603F28" w:rsidRDefault="00041260">
      <w:pPr>
        <w:pStyle w:val="a3"/>
      </w:pPr>
      <w:r>
        <w:rPr>
          <w:rFonts w:hint="eastAsia"/>
        </w:rPr>
        <w:t>图</w:t>
      </w:r>
      <w:r>
        <w:rPr>
          <w:rFonts w:hint="eastAsia"/>
        </w:rPr>
        <w:t>2-</w:t>
      </w:r>
      <w:r>
        <w:fldChar w:fldCharType="begin"/>
      </w:r>
      <w:r>
        <w:rPr>
          <w:rFonts w:hint="eastAsia"/>
        </w:rPr>
        <w:instrText xml:space="preserve">SEQ </w:instrText>
      </w:r>
      <w:r>
        <w:rPr>
          <w:rFonts w:hint="eastAsia"/>
        </w:rPr>
        <w:instrText>图</w:instrText>
      </w:r>
      <w:r>
        <w:rPr>
          <w:rFonts w:hint="eastAsia"/>
        </w:rPr>
        <w:instrText>2- \* ARABIC</w:instrText>
      </w:r>
      <w:r>
        <w:fldChar w:fldCharType="separate"/>
      </w:r>
      <w:r>
        <w:t>1</w:t>
      </w:r>
      <w:r>
        <w:fldChar w:fldCharType="end"/>
      </w:r>
      <w:r>
        <w:t xml:space="preserve">  2019</w:t>
      </w:r>
      <w:r>
        <w:t>届专场招聘会企业所在地</w:t>
      </w:r>
    </w:p>
    <w:p w:rsidR="00603F28" w:rsidRDefault="00041260">
      <w:pPr>
        <w:pStyle w:val="2"/>
      </w:pPr>
      <w:bookmarkStart w:id="55" w:name="_Toc27642614"/>
      <w:r>
        <w:rPr>
          <w:rFonts w:hint="eastAsia"/>
        </w:rPr>
        <w:t>四、</w:t>
      </w:r>
      <w:r>
        <w:t>专场招聘</w:t>
      </w:r>
      <w:r>
        <w:rPr>
          <w:rFonts w:hint="eastAsia"/>
        </w:rPr>
        <w:t>会</w:t>
      </w:r>
      <w:r>
        <w:t>企业单位性质</w:t>
      </w:r>
      <w:bookmarkEnd w:id="55"/>
    </w:p>
    <w:p w:rsidR="00603F28" w:rsidRDefault="00041260">
      <w:pPr>
        <w:pStyle w:val="aff8"/>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912</w:t>
      </w:r>
      <w:r>
        <w:rPr>
          <w:rFonts w:ascii="Times New Roman" w:eastAsia="宋体" w:hAnsi="Times New Roman" w:cs="Times New Roman"/>
          <w:sz w:val="21"/>
          <w:szCs w:val="21"/>
        </w:rPr>
        <w:t>家专场招聘企业中</w:t>
      </w:r>
      <w:r>
        <w:rPr>
          <w:rFonts w:ascii="Times New Roman" w:eastAsia="宋体" w:hAnsi="Times New Roman" w:cs="Times New Roman" w:hint="eastAsia"/>
          <w:sz w:val="21"/>
          <w:szCs w:val="21"/>
        </w:rPr>
        <w:t>，主要以民营企业（</w:t>
      </w:r>
      <w:r>
        <w:rPr>
          <w:rFonts w:ascii="Times New Roman" w:eastAsia="宋体" w:hAnsi="Times New Roman" w:cs="Times New Roman" w:hint="eastAsia"/>
          <w:sz w:val="21"/>
          <w:szCs w:val="21"/>
        </w:rPr>
        <w:t>384</w:t>
      </w:r>
      <w:r>
        <w:rPr>
          <w:rFonts w:ascii="Times New Roman" w:eastAsia="宋体" w:hAnsi="Times New Roman" w:cs="Times New Roman" w:hint="eastAsia"/>
          <w:sz w:val="21"/>
          <w:szCs w:val="21"/>
        </w:rPr>
        <w:t>家）为主，其次是国有企业（</w:t>
      </w:r>
      <w:r>
        <w:rPr>
          <w:rFonts w:ascii="Times New Roman" w:eastAsia="宋体" w:hAnsi="Times New Roman" w:cs="Times New Roman" w:hint="eastAsia"/>
          <w:sz w:val="21"/>
          <w:szCs w:val="21"/>
        </w:rPr>
        <w:t>266</w:t>
      </w:r>
      <w:r>
        <w:rPr>
          <w:rFonts w:ascii="Times New Roman" w:eastAsia="宋体" w:hAnsi="Times New Roman" w:cs="Times New Roman" w:hint="eastAsia"/>
          <w:sz w:val="21"/>
          <w:szCs w:val="21"/>
        </w:rPr>
        <w:t>家）和其他企业（</w:t>
      </w:r>
      <w:r>
        <w:rPr>
          <w:rFonts w:ascii="Times New Roman" w:eastAsia="宋体" w:hAnsi="Times New Roman" w:cs="Times New Roman" w:hint="eastAsia"/>
          <w:sz w:val="21"/>
          <w:szCs w:val="21"/>
        </w:rPr>
        <w:t>118</w:t>
      </w:r>
      <w:r>
        <w:rPr>
          <w:rFonts w:ascii="Times New Roman" w:eastAsia="宋体" w:hAnsi="Times New Roman" w:cs="Times New Roman" w:hint="eastAsia"/>
          <w:sz w:val="21"/>
          <w:szCs w:val="21"/>
        </w:rPr>
        <w:t>家）。</w:t>
      </w:r>
    </w:p>
    <w:p w:rsidR="00603F28" w:rsidRDefault="00041260">
      <w:pPr>
        <w:keepNext/>
      </w:pPr>
      <w:r>
        <w:rPr>
          <w:noProof/>
        </w:rPr>
        <w:drawing>
          <wp:inline distT="0" distB="0" distL="0" distR="0">
            <wp:extent cx="5274310" cy="3164840"/>
            <wp:effectExtent l="0" t="0" r="2540" b="0"/>
            <wp:docPr id="52"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603F28" w:rsidRDefault="00041260">
      <w:pPr>
        <w:pStyle w:val="a3"/>
      </w:pPr>
      <w:r>
        <w:rPr>
          <w:rFonts w:hint="eastAsia"/>
        </w:rPr>
        <w:t>图</w:t>
      </w:r>
      <w:r>
        <w:rPr>
          <w:rFonts w:hint="eastAsia"/>
        </w:rPr>
        <w:t>2-</w:t>
      </w:r>
      <w:r>
        <w:fldChar w:fldCharType="begin"/>
      </w:r>
      <w:r>
        <w:rPr>
          <w:rFonts w:hint="eastAsia"/>
        </w:rPr>
        <w:instrText xml:space="preserve">SEQ </w:instrText>
      </w:r>
      <w:r>
        <w:rPr>
          <w:rFonts w:hint="eastAsia"/>
        </w:rPr>
        <w:instrText>图</w:instrText>
      </w:r>
      <w:r>
        <w:rPr>
          <w:rFonts w:hint="eastAsia"/>
        </w:rPr>
        <w:instrText>2- \* ARABIC</w:instrText>
      </w:r>
      <w:r>
        <w:fldChar w:fldCharType="separate"/>
      </w:r>
      <w:r>
        <w:t>2</w:t>
      </w:r>
      <w:r>
        <w:fldChar w:fldCharType="end"/>
      </w:r>
      <w:r>
        <w:t xml:space="preserve">  2019</w:t>
      </w:r>
      <w:r>
        <w:t>届</w:t>
      </w:r>
      <w:r>
        <w:rPr>
          <w:rFonts w:hint="eastAsia"/>
        </w:rPr>
        <w:t>专场招聘会企业单位性质</w:t>
      </w:r>
    </w:p>
    <w:p w:rsidR="00603F28" w:rsidRDefault="00041260">
      <w:pPr>
        <w:pStyle w:val="2"/>
      </w:pPr>
      <w:bookmarkStart w:id="56" w:name="_Toc27642615"/>
      <w:r>
        <w:rPr>
          <w:rFonts w:hint="eastAsia"/>
        </w:rPr>
        <w:lastRenderedPageBreak/>
        <w:t>五、知名</w:t>
      </w:r>
      <w:r>
        <w:t>企业招聘情况</w:t>
      </w:r>
      <w:bookmarkEnd w:id="56"/>
    </w:p>
    <w:p w:rsidR="00603F28" w:rsidRDefault="00041260">
      <w:pPr>
        <w:pStyle w:val="aff8"/>
        <w:spacing w:line="360" w:lineRule="auto"/>
        <w:ind w:firstLine="420"/>
        <w:rPr>
          <w:rFonts w:ascii="Times New Roman" w:eastAsia="宋体" w:hAnsi="Times New Roman" w:cs="Times New Roman"/>
          <w:sz w:val="21"/>
        </w:rPr>
      </w:pPr>
      <w:r>
        <w:rPr>
          <w:rFonts w:ascii="Times New Roman" w:eastAsia="宋体" w:hAnsi="Times New Roman" w:cs="Times New Roman"/>
          <w:sz w:val="21"/>
        </w:rPr>
        <w:t>912</w:t>
      </w:r>
      <w:r>
        <w:rPr>
          <w:rFonts w:ascii="Times New Roman" w:eastAsia="宋体" w:hAnsi="Times New Roman" w:cs="Times New Roman"/>
          <w:sz w:val="21"/>
        </w:rPr>
        <w:t>家专场招聘企业中</w:t>
      </w:r>
      <w:r>
        <w:rPr>
          <w:rFonts w:ascii="Times New Roman" w:eastAsia="宋体" w:hAnsi="Times New Roman" w:cs="Times New Roman" w:hint="eastAsia"/>
          <w:sz w:val="21"/>
        </w:rPr>
        <w:t>，</w:t>
      </w:r>
      <w:r>
        <w:rPr>
          <w:rFonts w:ascii="Times New Roman" w:eastAsia="宋体" w:hAnsi="Times New Roman" w:cs="Times New Roman"/>
          <w:sz w:val="21"/>
        </w:rPr>
        <w:t>包括</w:t>
      </w:r>
      <w:r>
        <w:rPr>
          <w:rFonts w:ascii="Times New Roman" w:eastAsia="宋体" w:hAnsi="Times New Roman" w:cs="Times New Roman" w:hint="eastAsia"/>
          <w:sz w:val="21"/>
        </w:rPr>
        <w:t>24</w:t>
      </w:r>
      <w:r>
        <w:rPr>
          <w:rFonts w:ascii="Times New Roman" w:eastAsia="宋体" w:hAnsi="Times New Roman" w:cs="Times New Roman" w:hint="eastAsia"/>
          <w:sz w:val="21"/>
        </w:rPr>
        <w:t>家央属事业单位、</w:t>
      </w:r>
      <w:r>
        <w:rPr>
          <w:rFonts w:ascii="Times New Roman" w:eastAsia="宋体" w:hAnsi="Times New Roman" w:cs="Times New Roman"/>
          <w:sz w:val="21"/>
        </w:rPr>
        <w:t>173</w:t>
      </w:r>
      <w:r>
        <w:rPr>
          <w:rFonts w:ascii="Times New Roman" w:eastAsia="宋体" w:hAnsi="Times New Roman" w:cs="Times New Roman"/>
          <w:sz w:val="21"/>
        </w:rPr>
        <w:t>家世界</w:t>
      </w:r>
      <w:r>
        <w:rPr>
          <w:rFonts w:ascii="Times New Roman" w:eastAsia="宋体" w:hAnsi="Times New Roman" w:cs="Times New Roman"/>
          <w:sz w:val="21"/>
        </w:rPr>
        <w:t>500</w:t>
      </w:r>
      <w:r>
        <w:rPr>
          <w:rFonts w:ascii="Times New Roman" w:eastAsia="宋体" w:hAnsi="Times New Roman" w:cs="Times New Roman"/>
          <w:sz w:val="21"/>
        </w:rPr>
        <w:t>强企业、</w:t>
      </w:r>
      <w:r>
        <w:rPr>
          <w:rFonts w:ascii="Times New Roman" w:eastAsia="宋体" w:hAnsi="Times New Roman" w:cs="Times New Roman"/>
          <w:sz w:val="21"/>
        </w:rPr>
        <w:t>21</w:t>
      </w:r>
      <w:r>
        <w:rPr>
          <w:rFonts w:ascii="Times New Roman" w:eastAsia="宋体" w:hAnsi="Times New Roman" w:cs="Times New Roman"/>
          <w:sz w:val="21"/>
        </w:rPr>
        <w:t>家中国</w:t>
      </w:r>
      <w:r>
        <w:rPr>
          <w:rFonts w:ascii="Times New Roman" w:eastAsia="宋体" w:hAnsi="Times New Roman" w:cs="Times New Roman"/>
          <w:sz w:val="21"/>
        </w:rPr>
        <w:t>100</w:t>
      </w:r>
      <w:r>
        <w:rPr>
          <w:rFonts w:ascii="Times New Roman" w:eastAsia="宋体" w:hAnsi="Times New Roman" w:cs="Times New Roman"/>
          <w:sz w:val="21"/>
        </w:rPr>
        <w:t>强企业、</w:t>
      </w:r>
      <w:r>
        <w:rPr>
          <w:rFonts w:ascii="Times New Roman" w:eastAsia="宋体" w:hAnsi="Times New Roman" w:cs="Times New Roman"/>
          <w:sz w:val="21"/>
        </w:rPr>
        <w:t>102</w:t>
      </w:r>
      <w:r>
        <w:rPr>
          <w:rFonts w:ascii="Times New Roman" w:eastAsia="宋体" w:hAnsi="Times New Roman" w:cs="Times New Roman"/>
          <w:sz w:val="21"/>
        </w:rPr>
        <w:t>家中国</w:t>
      </w:r>
      <w:r>
        <w:rPr>
          <w:rFonts w:ascii="Times New Roman" w:eastAsia="宋体" w:hAnsi="Times New Roman" w:cs="Times New Roman"/>
          <w:sz w:val="21"/>
        </w:rPr>
        <w:t>500</w:t>
      </w:r>
      <w:r>
        <w:rPr>
          <w:rFonts w:ascii="Times New Roman" w:eastAsia="宋体" w:hAnsi="Times New Roman" w:cs="Times New Roman"/>
          <w:sz w:val="21"/>
        </w:rPr>
        <w:t>强企业、</w:t>
      </w:r>
      <w:r>
        <w:rPr>
          <w:rFonts w:ascii="Times New Roman" w:eastAsia="宋体" w:hAnsi="Times New Roman" w:cs="Times New Roman"/>
          <w:sz w:val="21"/>
        </w:rPr>
        <w:t>111</w:t>
      </w:r>
      <w:r>
        <w:rPr>
          <w:rFonts w:ascii="Times New Roman" w:eastAsia="宋体" w:hAnsi="Times New Roman" w:cs="Times New Roman"/>
          <w:sz w:val="21"/>
        </w:rPr>
        <w:t>家上市公司、</w:t>
      </w:r>
      <w:r>
        <w:rPr>
          <w:rFonts w:ascii="Times New Roman" w:eastAsia="宋体" w:hAnsi="Times New Roman" w:cs="Times New Roman"/>
          <w:sz w:val="21"/>
        </w:rPr>
        <w:t>56</w:t>
      </w:r>
      <w:r>
        <w:rPr>
          <w:rFonts w:ascii="Times New Roman" w:eastAsia="宋体" w:hAnsi="Times New Roman" w:cs="Times New Roman"/>
          <w:sz w:val="21"/>
        </w:rPr>
        <w:t>家行业</w:t>
      </w:r>
      <w:r>
        <w:rPr>
          <w:rFonts w:ascii="Times New Roman" w:eastAsia="宋体" w:hAnsi="Times New Roman" w:cs="Times New Roman"/>
          <w:sz w:val="21"/>
        </w:rPr>
        <w:t>500</w:t>
      </w:r>
      <w:r>
        <w:rPr>
          <w:rFonts w:ascii="Times New Roman" w:eastAsia="宋体" w:hAnsi="Times New Roman" w:cs="Times New Roman"/>
          <w:sz w:val="21"/>
        </w:rPr>
        <w:t>强、</w:t>
      </w:r>
      <w:r>
        <w:rPr>
          <w:rFonts w:ascii="Times New Roman" w:eastAsia="宋体" w:hAnsi="Times New Roman" w:cs="Times New Roman"/>
          <w:sz w:val="21"/>
        </w:rPr>
        <w:t>35</w:t>
      </w:r>
      <w:r>
        <w:rPr>
          <w:rFonts w:ascii="Times New Roman" w:eastAsia="宋体" w:hAnsi="Times New Roman" w:cs="Times New Roman"/>
          <w:sz w:val="21"/>
        </w:rPr>
        <w:t>家民企</w:t>
      </w:r>
      <w:r>
        <w:rPr>
          <w:rFonts w:ascii="Times New Roman" w:eastAsia="宋体" w:hAnsi="Times New Roman" w:cs="Times New Roman"/>
          <w:sz w:val="21"/>
        </w:rPr>
        <w:t>500</w:t>
      </w:r>
      <w:r>
        <w:rPr>
          <w:rFonts w:ascii="Times New Roman" w:eastAsia="宋体" w:hAnsi="Times New Roman" w:cs="Times New Roman"/>
          <w:sz w:val="21"/>
        </w:rPr>
        <w:t>强</w:t>
      </w:r>
      <w:r>
        <w:rPr>
          <w:rFonts w:ascii="Times New Roman" w:eastAsia="宋体" w:hAnsi="Times New Roman" w:cs="Times New Roman" w:hint="eastAsia"/>
          <w:sz w:val="21"/>
        </w:rPr>
        <w:t>企业。</w:t>
      </w:r>
    </w:p>
    <w:p w:rsidR="00603F28" w:rsidRDefault="00041260">
      <w:pPr>
        <w:keepNext/>
      </w:pPr>
      <w:r>
        <w:rPr>
          <w:noProof/>
        </w:rPr>
        <w:drawing>
          <wp:inline distT="0" distB="0" distL="0" distR="0">
            <wp:extent cx="5274310" cy="2904490"/>
            <wp:effectExtent l="0" t="0" r="2540" b="0"/>
            <wp:docPr id="100" name="图表 10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603F28" w:rsidRDefault="00041260">
      <w:pPr>
        <w:pStyle w:val="a3"/>
      </w:pPr>
      <w:r>
        <w:rPr>
          <w:rFonts w:hint="eastAsia"/>
        </w:rPr>
        <w:t>图</w:t>
      </w:r>
      <w:r>
        <w:rPr>
          <w:rFonts w:hint="eastAsia"/>
        </w:rPr>
        <w:t>2-</w:t>
      </w:r>
      <w:r>
        <w:fldChar w:fldCharType="begin"/>
      </w:r>
      <w:r>
        <w:rPr>
          <w:rFonts w:hint="eastAsia"/>
        </w:rPr>
        <w:instrText xml:space="preserve">SEQ </w:instrText>
      </w:r>
      <w:r>
        <w:rPr>
          <w:rFonts w:hint="eastAsia"/>
        </w:rPr>
        <w:instrText>图</w:instrText>
      </w:r>
      <w:r>
        <w:rPr>
          <w:rFonts w:hint="eastAsia"/>
        </w:rPr>
        <w:instrText>2- \* ARABIC</w:instrText>
      </w:r>
      <w:r>
        <w:fldChar w:fldCharType="separate"/>
      </w:r>
      <w:r>
        <w:t>3</w:t>
      </w:r>
      <w:r>
        <w:fldChar w:fldCharType="end"/>
      </w:r>
      <w:r>
        <w:t xml:space="preserve">  2019</w:t>
      </w:r>
      <w:r>
        <w:t>届专场招聘会企业知名度</w:t>
      </w:r>
    </w:p>
    <w:p w:rsidR="00603F28" w:rsidRDefault="00041260">
      <w:pPr>
        <w:widowControl/>
        <w:spacing w:line="240" w:lineRule="auto"/>
        <w:jc w:val="left"/>
        <w:rPr>
          <w:rFonts w:ascii="Songti SC" w:hAnsi="Songti SC"/>
          <w:b/>
          <w:bCs/>
          <w:kern w:val="44"/>
          <w:sz w:val="32"/>
          <w:szCs w:val="44"/>
        </w:rPr>
      </w:pPr>
      <w:r>
        <w:rPr>
          <w:rFonts w:ascii="Songti SC" w:hAnsi="Songti SC"/>
        </w:rPr>
        <w:br w:type="page"/>
      </w:r>
    </w:p>
    <w:p w:rsidR="00603F28" w:rsidRDefault="00041260">
      <w:pPr>
        <w:pStyle w:val="1"/>
        <w:rPr>
          <w:rFonts w:ascii="Songti SC" w:hAnsi="Songti SC"/>
        </w:rPr>
      </w:pPr>
      <w:bookmarkStart w:id="57" w:name="_Toc27642616"/>
      <w:r>
        <w:rPr>
          <w:rFonts w:ascii="Songti SC" w:hAnsi="Songti SC" w:hint="eastAsia"/>
        </w:rPr>
        <w:lastRenderedPageBreak/>
        <w:t>第三章</w:t>
      </w:r>
      <w:r>
        <w:rPr>
          <w:rFonts w:ascii="Songti SC" w:hAnsi="Songti SC"/>
        </w:rPr>
        <w:t xml:space="preserve"> </w:t>
      </w:r>
      <w:r>
        <w:rPr>
          <w:rFonts w:ascii="time" w:hAnsi="time" w:hint="eastAsia"/>
        </w:rPr>
        <w:t>2019</w:t>
      </w:r>
      <w:r>
        <w:rPr>
          <w:rFonts w:ascii="time" w:hAnsi="time" w:hint="eastAsia"/>
        </w:rPr>
        <w:t>届毕业生离校</w:t>
      </w:r>
      <w:r>
        <w:rPr>
          <w:rFonts w:ascii="time" w:hAnsi="time" w:hint="eastAsia"/>
        </w:rPr>
        <w:t>3-6</w:t>
      </w:r>
      <w:r>
        <w:rPr>
          <w:rFonts w:ascii="time" w:hAnsi="time" w:hint="eastAsia"/>
        </w:rPr>
        <w:t>个月就业质量跟</w:t>
      </w:r>
      <w:r>
        <w:rPr>
          <w:rFonts w:ascii="Songti SC" w:hAnsi="Songti SC" w:hint="eastAsia"/>
        </w:rPr>
        <w:t>踪调研</w:t>
      </w:r>
      <w:bookmarkEnd w:id="57"/>
    </w:p>
    <w:p w:rsidR="00603F28" w:rsidRDefault="00041260">
      <w:pPr>
        <w:ind w:firstLine="482"/>
        <w:rPr>
          <w:rFonts w:ascii="time" w:hAnsi="time" w:cs="宋体" w:hint="eastAsia"/>
        </w:rPr>
      </w:pPr>
      <w:r>
        <w:rPr>
          <w:rFonts w:ascii="time" w:hAnsi="time" w:cs="MS Mincho" w:hint="eastAsia"/>
        </w:rPr>
        <w:t>本部分数据来源于“云就业平台”的</w:t>
      </w:r>
      <w:r>
        <w:rPr>
          <w:rFonts w:ascii="time" w:hAnsi="time" w:cs="宋体" w:hint="eastAsia"/>
          <w:color w:val="000000"/>
        </w:rPr>
        <w:t>“江西财经大学</w:t>
      </w:r>
      <w:r>
        <w:rPr>
          <w:rFonts w:ascii="time" w:hAnsi="time" w:cs="宋体"/>
          <w:color w:val="000000"/>
        </w:rPr>
        <w:t>2019</w:t>
      </w:r>
      <w:r>
        <w:rPr>
          <w:rFonts w:ascii="time" w:hAnsi="time" w:cs="宋体"/>
          <w:color w:val="000000"/>
        </w:rPr>
        <w:t>届毕业生就业质量调研问卷</w:t>
      </w:r>
      <w:r>
        <w:rPr>
          <w:rFonts w:ascii="time" w:hAnsi="time" w:cs="宋体" w:hint="eastAsia"/>
          <w:color w:val="000000"/>
        </w:rPr>
        <w:t>”</w:t>
      </w:r>
      <w:r>
        <w:rPr>
          <w:rFonts w:ascii="time" w:hAnsi="time" w:cs="MS Mincho" w:hint="eastAsia"/>
        </w:rPr>
        <w:t>。</w:t>
      </w:r>
      <w:r>
        <w:rPr>
          <w:rFonts w:ascii="time" w:hAnsi="time" w:cs="宋体" w:hint="eastAsia"/>
          <w:color w:val="000000"/>
        </w:rPr>
        <w:t>2019</w:t>
      </w:r>
      <w:r>
        <w:rPr>
          <w:rFonts w:ascii="time" w:hAnsi="time" w:cs="宋体" w:hint="eastAsia"/>
          <w:color w:val="000000"/>
        </w:rPr>
        <w:t>届毕业生离校</w:t>
      </w:r>
      <w:r>
        <w:rPr>
          <w:rFonts w:ascii="time" w:hAnsi="time" w:cs="宋体" w:hint="eastAsia"/>
          <w:color w:val="000000"/>
        </w:rPr>
        <w:t>3-6</w:t>
      </w:r>
      <w:r>
        <w:rPr>
          <w:rFonts w:ascii="time" w:hAnsi="time" w:cs="宋体" w:hint="eastAsia"/>
          <w:color w:val="000000"/>
        </w:rPr>
        <w:t>个月就业质量跟踪调研主要从毕业生就业满意度、毕业生人职适配度、毕业生薪资福利、毕业生岗位评价、毕业生职业发展评价、毕业生离职情况和就业质量综合评价七个方面展开。</w:t>
      </w:r>
    </w:p>
    <w:p w:rsidR="00603F28" w:rsidRDefault="00041260">
      <w:pPr>
        <w:pStyle w:val="2"/>
      </w:pPr>
      <w:bookmarkStart w:id="58" w:name="_Toc15128_WPSOffice_Level3"/>
      <w:bookmarkStart w:id="59" w:name="_Toc27642617"/>
      <w:bookmarkStart w:id="60" w:name="_Toc534724602"/>
      <w:r>
        <w:rPr>
          <w:rFonts w:hint="eastAsia"/>
        </w:rPr>
        <w:t>一、</w:t>
      </w:r>
      <w:r>
        <w:t>就业满意度</w:t>
      </w:r>
      <w:bookmarkEnd w:id="58"/>
      <w:bookmarkEnd w:id="59"/>
      <w:bookmarkEnd w:id="60"/>
    </w:p>
    <w:p w:rsidR="00603F28" w:rsidRDefault="00041260">
      <w:pPr>
        <w:ind w:firstLineChars="200" w:firstLine="420"/>
      </w:pPr>
      <w:r>
        <w:rPr>
          <w:rFonts w:hint="eastAsia"/>
        </w:rPr>
        <w:t>2</w:t>
      </w:r>
      <w:r>
        <w:t>019</w:t>
      </w:r>
      <w:r>
        <w:rPr>
          <w:rFonts w:hint="eastAsia"/>
        </w:rPr>
        <w:t>届本科毕业生总体就业满意度</w:t>
      </w:r>
      <w:r>
        <w:rPr>
          <w:sz w:val="18"/>
          <w:szCs w:val="18"/>
          <w:vertAlign w:val="superscript"/>
        </w:rPr>
        <w:t>[</w:t>
      </w:r>
      <w:r>
        <w:rPr>
          <w:rStyle w:val="afc"/>
          <w:sz w:val="18"/>
          <w:szCs w:val="18"/>
        </w:rPr>
        <w:footnoteReference w:id="6"/>
      </w:r>
      <w:r>
        <w:rPr>
          <w:sz w:val="18"/>
          <w:szCs w:val="18"/>
          <w:vertAlign w:val="superscript"/>
        </w:rPr>
        <w:t>]</w:t>
      </w:r>
      <w:r>
        <w:rPr>
          <w:rFonts w:hint="eastAsia"/>
        </w:rPr>
        <w:t>为</w:t>
      </w:r>
      <w:r>
        <w:t>83.33%</w:t>
      </w:r>
      <w:r>
        <w:rPr>
          <w:rFonts w:hint="eastAsia"/>
        </w:rPr>
        <w:t>。从各学院毕业生就业满意度来看，金融学院（</w:t>
      </w:r>
      <w:r>
        <w:rPr>
          <w:rFonts w:hint="eastAsia"/>
        </w:rPr>
        <w:t>92.</w:t>
      </w:r>
      <w:r>
        <w:t>22</w:t>
      </w:r>
      <w:r>
        <w:rPr>
          <w:rFonts w:hint="eastAsia"/>
        </w:rPr>
        <w:t>%</w:t>
      </w:r>
      <w:r>
        <w:rPr>
          <w:rFonts w:hint="eastAsia"/>
        </w:rPr>
        <w:t>）和会计学院（</w:t>
      </w:r>
      <w:r>
        <w:rPr>
          <w:rFonts w:hint="eastAsia"/>
        </w:rPr>
        <w:t>9</w:t>
      </w:r>
      <w:r>
        <w:t>0</w:t>
      </w:r>
      <w:r>
        <w:rPr>
          <w:rFonts w:hint="eastAsia"/>
        </w:rPr>
        <w:t>.</w:t>
      </w:r>
      <w:r>
        <w:t>97</w:t>
      </w:r>
      <w:r>
        <w:rPr>
          <w:rFonts w:hint="eastAsia"/>
        </w:rPr>
        <w:t>%</w:t>
      </w:r>
      <w:r>
        <w:rPr>
          <w:rFonts w:hint="eastAsia"/>
        </w:rPr>
        <w:t>）毕业生的满意度均在</w:t>
      </w:r>
      <w:r>
        <w:rPr>
          <w:rFonts w:hint="eastAsia"/>
        </w:rPr>
        <w:t>90%</w:t>
      </w:r>
      <w:r>
        <w:rPr>
          <w:rFonts w:hint="eastAsia"/>
        </w:rPr>
        <w:t>以上。</w:t>
      </w:r>
    </w:p>
    <w:p w:rsidR="00603F28" w:rsidRDefault="00041260">
      <w:pPr>
        <w:keepNext/>
        <w:jc w:val="center"/>
      </w:pPr>
      <w:r>
        <w:rPr>
          <w:noProof/>
        </w:rPr>
        <w:drawing>
          <wp:inline distT="0" distB="0" distL="0" distR="0">
            <wp:extent cx="4848225" cy="4143375"/>
            <wp:effectExtent l="0" t="0" r="0" b="0"/>
            <wp:docPr id="71" name="图表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1</w:t>
      </w:r>
      <w:r>
        <w:fldChar w:fldCharType="end"/>
      </w:r>
      <w:r>
        <w:t xml:space="preserve">  2019</w:t>
      </w:r>
      <w:r>
        <w:rPr>
          <w:rFonts w:hint="eastAsia"/>
        </w:rPr>
        <w:t>届本科毕业生分学院就业满意度</w:t>
      </w:r>
    </w:p>
    <w:p w:rsidR="00603F28" w:rsidRDefault="00041260">
      <w:pPr>
        <w:pStyle w:val="2"/>
      </w:pPr>
      <w:bookmarkStart w:id="61" w:name="_Toc27642618"/>
      <w:r>
        <w:rPr>
          <w:rFonts w:hint="eastAsia"/>
        </w:rPr>
        <w:lastRenderedPageBreak/>
        <w:t>二、人职适配</w:t>
      </w:r>
      <w:bookmarkEnd w:id="61"/>
    </w:p>
    <w:p w:rsidR="00603F28" w:rsidRDefault="00041260">
      <w:pPr>
        <w:pStyle w:val="3"/>
        <w:spacing w:before="120"/>
      </w:pPr>
      <w:bookmarkStart w:id="62" w:name="_Toc27642619"/>
      <w:r>
        <w:rPr>
          <w:rFonts w:hint="eastAsia"/>
        </w:rPr>
        <w:t>（一）专业相关度</w:t>
      </w:r>
      <w:bookmarkEnd w:id="62"/>
    </w:p>
    <w:p w:rsidR="00603F28" w:rsidRDefault="00041260">
      <w:pPr>
        <w:pStyle w:val="4"/>
        <w:ind w:firstLineChars="200" w:firstLine="422"/>
      </w:pPr>
      <w:r>
        <w:t>1.</w:t>
      </w:r>
      <w:r>
        <w:rPr>
          <w:rFonts w:hint="eastAsia"/>
        </w:rPr>
        <w:t>专业相关度评价</w:t>
      </w:r>
    </w:p>
    <w:p w:rsidR="00603F28" w:rsidRDefault="00041260">
      <w:pPr>
        <w:ind w:firstLineChars="200" w:firstLine="420"/>
      </w:pPr>
      <w:r>
        <w:rPr>
          <w:rFonts w:hint="eastAsia"/>
        </w:rPr>
        <w:t>2</w:t>
      </w:r>
      <w:r>
        <w:t>019</w:t>
      </w:r>
      <w:r>
        <w:rPr>
          <w:rFonts w:hint="eastAsia"/>
        </w:rPr>
        <w:t>届本科毕业生中，</w:t>
      </w:r>
      <w:r>
        <w:rPr>
          <w:rFonts w:cs="Times New Roman"/>
        </w:rPr>
        <w:t>工作与</w:t>
      </w:r>
      <w:r>
        <w:rPr>
          <w:rFonts w:cs="Times New Roman" w:hint="eastAsia"/>
        </w:rPr>
        <w:t>第一专业相关度</w:t>
      </w:r>
      <w:r>
        <w:rPr>
          <w:rFonts w:cs="Times New Roman"/>
        </w:rPr>
        <w:t>为</w:t>
      </w:r>
      <w:r>
        <w:rPr>
          <w:rFonts w:cs="Times New Roman"/>
        </w:rPr>
        <w:t>67.58%</w:t>
      </w:r>
      <w:r>
        <w:rPr>
          <w:rFonts w:cs="Times New Roman"/>
        </w:rPr>
        <w:t>，而选修过第二专业的</w:t>
      </w:r>
      <w:r>
        <w:rPr>
          <w:rFonts w:cs="Times New Roman" w:hint="eastAsia"/>
        </w:rPr>
        <w:t>毕业生</w:t>
      </w:r>
      <w:r>
        <w:rPr>
          <w:rFonts w:cs="Times New Roman"/>
        </w:rPr>
        <w:t>中，有</w:t>
      </w:r>
      <w:r>
        <w:rPr>
          <w:rFonts w:cs="Times New Roman"/>
        </w:rPr>
        <w:t>43.06%</w:t>
      </w:r>
      <w:r>
        <w:rPr>
          <w:rFonts w:cs="Times New Roman"/>
        </w:rPr>
        <w:t>的人所从事的工作与第二专业相关。</w:t>
      </w:r>
      <w:r>
        <w:rPr>
          <w:rFonts w:hint="eastAsia"/>
        </w:rPr>
        <w:t>其中，毕业生从事工作与本专业不相关的原因主要是“专业工作不符合自己的职业期待”（</w:t>
      </w:r>
      <w:r>
        <w:rPr>
          <w:rFonts w:hint="eastAsia"/>
        </w:rPr>
        <w:t>23.95%</w:t>
      </w:r>
      <w:r>
        <w:rPr>
          <w:rFonts w:hint="eastAsia"/>
        </w:rPr>
        <w:t>）和“迫于现实先就业再择业”（</w:t>
      </w:r>
      <w:r>
        <w:rPr>
          <w:rFonts w:hint="eastAsia"/>
        </w:rPr>
        <w:t>21.70%</w:t>
      </w:r>
      <w:r>
        <w:rPr>
          <w:rFonts w:hint="eastAsia"/>
        </w:rPr>
        <w:t>）。</w:t>
      </w:r>
    </w:p>
    <w:p w:rsidR="00603F28" w:rsidRDefault="00041260">
      <w:pPr>
        <w:ind w:firstLineChars="200" w:firstLine="420"/>
      </w:pPr>
      <w:r>
        <w:rPr>
          <w:rFonts w:hint="eastAsia"/>
        </w:rPr>
        <w:t>从各学院毕业生的工作与第一专业相关度来看，会计学院（</w:t>
      </w:r>
      <w:r>
        <w:rPr>
          <w:rFonts w:hint="eastAsia"/>
        </w:rPr>
        <w:t>93.24%</w:t>
      </w:r>
      <w:r>
        <w:rPr>
          <w:rFonts w:hint="eastAsia"/>
        </w:rPr>
        <w:t>）的专业相关度在</w:t>
      </w:r>
      <w:r>
        <w:rPr>
          <w:rFonts w:hint="eastAsia"/>
        </w:rPr>
        <w:t>90%</w:t>
      </w:r>
      <w:r>
        <w:rPr>
          <w:rFonts w:hint="eastAsia"/>
        </w:rPr>
        <w:t>以上；其次是软件</w:t>
      </w:r>
      <w:r>
        <w:rPr>
          <w:rFonts w:hint="eastAsia"/>
        </w:rPr>
        <w:t>与物联网工程学院（</w:t>
      </w:r>
      <w:r>
        <w:rPr>
          <w:rFonts w:hint="eastAsia"/>
        </w:rPr>
        <w:t>89.23%</w:t>
      </w:r>
      <w:r>
        <w:rPr>
          <w:rFonts w:hint="eastAsia"/>
        </w:rPr>
        <w:t>）、国际学院（</w:t>
      </w:r>
      <w:r>
        <w:rPr>
          <w:rFonts w:hint="eastAsia"/>
        </w:rPr>
        <w:t>86.08%</w:t>
      </w:r>
      <w:r>
        <w:rPr>
          <w:rFonts w:hint="eastAsia"/>
        </w:rPr>
        <w:t>）、法学院（</w:t>
      </w:r>
      <w:r>
        <w:rPr>
          <w:rFonts w:hint="eastAsia"/>
        </w:rPr>
        <w:t>84.00%</w:t>
      </w:r>
      <w:r>
        <w:rPr>
          <w:rFonts w:hint="eastAsia"/>
        </w:rPr>
        <w:t>）和金融学院（</w:t>
      </w:r>
      <w:r>
        <w:rPr>
          <w:rFonts w:hint="eastAsia"/>
        </w:rPr>
        <w:t>80.13%</w:t>
      </w:r>
      <w:r>
        <w:rPr>
          <w:rFonts w:hint="eastAsia"/>
        </w:rPr>
        <w:t>），专业相关度在</w:t>
      </w:r>
      <w:r>
        <w:rPr>
          <w:rFonts w:hint="eastAsia"/>
        </w:rPr>
        <w:t>80%</w:t>
      </w:r>
      <w:r>
        <w:rPr>
          <w:rFonts w:hint="eastAsia"/>
        </w:rPr>
        <w:t>以上。</w:t>
      </w:r>
    </w:p>
    <w:p w:rsidR="00603F28" w:rsidRDefault="00041260">
      <w:pPr>
        <w:keepNext/>
      </w:pPr>
      <w:r>
        <w:rPr>
          <w:noProof/>
        </w:rPr>
        <w:drawing>
          <wp:inline distT="0" distB="0" distL="0" distR="0">
            <wp:extent cx="5274310" cy="3686810"/>
            <wp:effectExtent l="0" t="0" r="2540" b="8890"/>
            <wp:docPr id="46"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2</w:t>
      </w:r>
      <w:r>
        <w:fldChar w:fldCharType="end"/>
      </w:r>
      <w:r>
        <w:t xml:space="preserve">  2019</w:t>
      </w:r>
      <w:r>
        <w:rPr>
          <w:rFonts w:hint="eastAsia"/>
        </w:rPr>
        <w:t>届本科毕业生各学院工作与第一专业相关度</w:t>
      </w:r>
    </w:p>
    <w:p w:rsidR="00603F28" w:rsidRDefault="00041260">
      <w:pPr>
        <w:ind w:firstLineChars="200" w:firstLine="420"/>
      </w:pPr>
      <w:r>
        <w:rPr>
          <w:rFonts w:hint="eastAsia"/>
        </w:rPr>
        <w:t>从性别维度上看，男性毕业生和女性毕业生在专业相关度上的差异较小。整体上，男性毕业生工作与专业相关度较女性更高。</w:t>
      </w:r>
    </w:p>
    <w:p w:rsidR="00603F28" w:rsidRDefault="00041260">
      <w:pPr>
        <w:keepNext/>
      </w:pPr>
      <w:r>
        <w:rPr>
          <w:noProof/>
        </w:rPr>
        <w:lastRenderedPageBreak/>
        <w:drawing>
          <wp:inline distT="0" distB="0" distL="0" distR="0">
            <wp:extent cx="5274310" cy="3355340"/>
            <wp:effectExtent l="0" t="0" r="2540" b="0"/>
            <wp:docPr id="47" name="图表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3</w:t>
      </w:r>
      <w:r>
        <w:fldChar w:fldCharType="end"/>
      </w:r>
      <w:r>
        <w:t xml:space="preserve">  2019</w:t>
      </w:r>
      <w:r>
        <w:rPr>
          <w:rFonts w:hint="eastAsia"/>
        </w:rPr>
        <w:t>届本科毕业生分性别工作与第一专业相关度</w:t>
      </w:r>
    </w:p>
    <w:p w:rsidR="00603F28" w:rsidRDefault="00041260">
      <w:pPr>
        <w:pStyle w:val="4"/>
        <w:ind w:firstLineChars="200" w:firstLine="422"/>
      </w:pPr>
      <w:r>
        <w:rPr>
          <w:rFonts w:hint="eastAsia"/>
        </w:rPr>
        <w:t>2</w:t>
      </w:r>
      <w:r>
        <w:t>.</w:t>
      </w:r>
      <w:r>
        <w:rPr>
          <w:rFonts w:hint="eastAsia"/>
        </w:rPr>
        <w:t>第二专业帮助程度</w:t>
      </w:r>
    </w:p>
    <w:p w:rsidR="00603F28" w:rsidRDefault="00041260">
      <w:pPr>
        <w:ind w:firstLineChars="200" w:firstLine="420"/>
      </w:pPr>
      <w:r>
        <w:rPr>
          <w:rFonts w:hint="eastAsia"/>
        </w:rPr>
        <w:t>2</w:t>
      </w:r>
      <w:r>
        <w:t>019</w:t>
      </w:r>
      <w:r>
        <w:rPr>
          <w:rFonts w:hint="eastAsia"/>
        </w:rPr>
        <w:t>届本科毕业生中，</w:t>
      </w:r>
      <w:r>
        <w:rPr>
          <w:rFonts w:hint="eastAsia"/>
        </w:rPr>
        <w:t>72.2%</w:t>
      </w:r>
      <w:r>
        <w:rPr>
          <w:rFonts w:hint="eastAsia"/>
        </w:rPr>
        <w:t>的毕业生比较满意第二专业对就业的帮助程度。</w:t>
      </w:r>
    </w:p>
    <w:p w:rsidR="00603F28" w:rsidRDefault="00041260">
      <w:pPr>
        <w:keepNext/>
        <w:widowControl/>
        <w:spacing w:line="240" w:lineRule="auto"/>
        <w:jc w:val="center"/>
      </w:pPr>
      <w:r>
        <w:rPr>
          <w:noProof/>
        </w:rPr>
        <w:drawing>
          <wp:inline distT="0" distB="0" distL="0" distR="0">
            <wp:extent cx="4810125" cy="2743200"/>
            <wp:effectExtent l="0" t="0" r="0" b="0"/>
            <wp:docPr id="48" name="图表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4</w:t>
      </w:r>
      <w:r>
        <w:fldChar w:fldCharType="end"/>
      </w:r>
      <w:r>
        <w:t xml:space="preserve">  2019</w:t>
      </w:r>
      <w:r>
        <w:rPr>
          <w:rFonts w:hint="eastAsia"/>
        </w:rPr>
        <w:t>届本科毕业生对第二专业帮助程度的评价</w:t>
      </w:r>
    </w:p>
    <w:p w:rsidR="00603F28" w:rsidRDefault="00041260">
      <w:pPr>
        <w:pStyle w:val="3"/>
        <w:spacing w:before="120"/>
      </w:pPr>
      <w:bookmarkStart w:id="63" w:name="_Toc27642620"/>
      <w:r>
        <w:rPr>
          <w:rFonts w:hint="eastAsia"/>
        </w:rPr>
        <w:t>（二）期待吻合度</w:t>
      </w:r>
      <w:bookmarkEnd w:id="63"/>
    </w:p>
    <w:p w:rsidR="00603F28" w:rsidRDefault="00041260">
      <w:pPr>
        <w:ind w:firstLineChars="200" w:firstLine="420"/>
        <w:jc w:val="left"/>
      </w:pPr>
      <w:r>
        <w:rPr>
          <w:rFonts w:hint="eastAsia"/>
        </w:rPr>
        <w:t>2</w:t>
      </w:r>
      <w:r>
        <w:t>019</w:t>
      </w:r>
      <w:r>
        <w:rPr>
          <w:rFonts w:hint="eastAsia"/>
        </w:rPr>
        <w:t>届本科毕业生中，</w:t>
      </w:r>
      <w:r>
        <w:t>67.92</w:t>
      </w:r>
      <w:r>
        <w:rPr>
          <w:rFonts w:hint="eastAsia"/>
        </w:rPr>
        <w:t>%</w:t>
      </w:r>
      <w:r>
        <w:rPr>
          <w:rFonts w:hint="eastAsia"/>
        </w:rPr>
        <w:t>的毕业生认为当前的工作符合自身的期望。</w:t>
      </w:r>
    </w:p>
    <w:p w:rsidR="00603F28" w:rsidRDefault="00041260">
      <w:pPr>
        <w:ind w:firstLineChars="200" w:firstLine="420"/>
      </w:pPr>
      <w:r>
        <w:rPr>
          <w:rFonts w:hint="eastAsia"/>
        </w:rPr>
        <w:t>毕业生从事工作不符合自身期望的主要原因是“不符合自己的职业发展规划”（</w:t>
      </w:r>
      <w:r>
        <w:t>24.58</w:t>
      </w:r>
      <w:r>
        <w:rPr>
          <w:rFonts w:hint="eastAsia"/>
        </w:rPr>
        <w:t>%</w:t>
      </w:r>
      <w:r>
        <w:rPr>
          <w:rFonts w:hint="eastAsia"/>
        </w:rPr>
        <w:t>）、</w:t>
      </w:r>
      <w:r>
        <w:rPr>
          <w:rFonts w:hint="eastAsia"/>
        </w:rPr>
        <w:lastRenderedPageBreak/>
        <w:t>“不符合自己的兴趣爱好”（</w:t>
      </w:r>
      <w:r>
        <w:rPr>
          <w:rFonts w:hint="eastAsia"/>
        </w:rPr>
        <w:t>23.42%</w:t>
      </w:r>
      <w:r>
        <w:rPr>
          <w:rFonts w:hint="eastAsia"/>
        </w:rPr>
        <w:t>）以及“不符合自己的生活方式”（</w:t>
      </w:r>
      <w:r>
        <w:t>21.09</w:t>
      </w:r>
      <w:r>
        <w:rPr>
          <w:rFonts w:hint="eastAsia"/>
        </w:rPr>
        <w:t>%</w:t>
      </w:r>
      <w:r>
        <w:rPr>
          <w:rFonts w:hint="eastAsia"/>
        </w:rPr>
        <w:t>）。</w:t>
      </w:r>
      <w:r>
        <w:rPr>
          <w:rFonts w:ascii="time" w:hAnsi="time" w:cs="宋体" w:hint="eastAsia"/>
        </w:rPr>
        <w:t>除个人发展外，毕业生愈发开始重视工作体验，注重工作与自身兴趣或生活方式的匹</w:t>
      </w:r>
      <w:r>
        <w:rPr>
          <w:rFonts w:ascii="time" w:hAnsi="time" w:cs="宋体" w:hint="eastAsia"/>
        </w:rPr>
        <w:t>配度，因此更多毕业生选择了自己更感兴趣的工作，而不仅是专业吻合的工作。学校在就业指导和服务工作中，应使毕业生正确对待工作与兴趣的关系，不仅要关注当前兴趣与工作的匹配性，同时可以注重工作中的兴趣发掘和培养。</w:t>
      </w:r>
    </w:p>
    <w:p w:rsidR="00603F28" w:rsidRDefault="00041260">
      <w:pPr>
        <w:pStyle w:val="2"/>
      </w:pPr>
      <w:bookmarkStart w:id="64" w:name="_Toc27642621"/>
      <w:r>
        <w:rPr>
          <w:rFonts w:hint="eastAsia"/>
        </w:rPr>
        <w:t>三、薪资福利</w:t>
      </w:r>
      <w:bookmarkEnd w:id="64"/>
    </w:p>
    <w:p w:rsidR="00603F28" w:rsidRDefault="00041260">
      <w:pPr>
        <w:pStyle w:val="3"/>
      </w:pPr>
      <w:bookmarkStart w:id="65" w:name="_Toc27642622"/>
      <w:r>
        <w:rPr>
          <w:rFonts w:hint="eastAsia"/>
        </w:rPr>
        <w:t>（一）薪资水平和满意度</w:t>
      </w:r>
      <w:bookmarkEnd w:id="65"/>
    </w:p>
    <w:p w:rsidR="00603F28" w:rsidRDefault="00041260">
      <w:pPr>
        <w:pStyle w:val="4"/>
        <w:ind w:firstLineChars="200" w:firstLine="422"/>
      </w:pPr>
      <w:r>
        <w:t>1.</w:t>
      </w:r>
      <w:r>
        <w:rPr>
          <w:rFonts w:hint="eastAsia"/>
        </w:rPr>
        <w:t>平均薪资</w:t>
      </w:r>
    </w:p>
    <w:p w:rsidR="00603F28" w:rsidRDefault="00041260">
      <w:pPr>
        <w:ind w:firstLineChars="200" w:firstLine="420"/>
      </w:pPr>
      <w:r>
        <w:rPr>
          <w:rFonts w:hint="eastAsia"/>
        </w:rPr>
        <w:t>2019</w:t>
      </w:r>
      <w:r>
        <w:rPr>
          <w:rFonts w:hint="eastAsia"/>
        </w:rPr>
        <w:t>届本科毕业生平均薪资为</w:t>
      </w:r>
      <w:r>
        <w:rPr>
          <w:rFonts w:hint="eastAsia"/>
        </w:rPr>
        <w:t>6</w:t>
      </w:r>
      <w:r>
        <w:t>2</w:t>
      </w:r>
      <w:r>
        <w:rPr>
          <w:rFonts w:hint="eastAsia"/>
        </w:rPr>
        <w:t>8</w:t>
      </w:r>
      <w:r>
        <w:t>8</w:t>
      </w:r>
      <w:r>
        <w:rPr>
          <w:rFonts w:hint="eastAsia"/>
        </w:rPr>
        <w:t>元，总体期望薪资为</w:t>
      </w:r>
      <w:r>
        <w:t>8047</w:t>
      </w:r>
      <w:r>
        <w:rPr>
          <w:rFonts w:hint="eastAsia"/>
        </w:rPr>
        <w:t>元。</w:t>
      </w:r>
    </w:p>
    <w:p w:rsidR="00603F28" w:rsidRDefault="00041260">
      <w:pPr>
        <w:ind w:firstLineChars="200" w:firstLine="420"/>
      </w:pPr>
      <w:r>
        <w:rPr>
          <w:rFonts w:hint="eastAsia"/>
        </w:rPr>
        <w:t>从各学院毕业生平均薪资来看，软件与物联网工程学院的毕业生平均薪资最高，为</w:t>
      </w:r>
      <w:r>
        <w:rPr>
          <w:rFonts w:hint="eastAsia"/>
        </w:rPr>
        <w:t>7422</w:t>
      </w:r>
      <w:r>
        <w:rPr>
          <w:rFonts w:hint="eastAsia"/>
        </w:rPr>
        <w:t>元；其次是会计学院（</w:t>
      </w:r>
      <w:r>
        <w:rPr>
          <w:rFonts w:hint="eastAsia"/>
        </w:rPr>
        <w:t>6894</w:t>
      </w:r>
      <w:r>
        <w:rPr>
          <w:rFonts w:hint="eastAsia"/>
        </w:rPr>
        <w:t>元）和信息管理学院（</w:t>
      </w:r>
      <w:r>
        <w:rPr>
          <w:rFonts w:hint="eastAsia"/>
        </w:rPr>
        <w:t>6833</w:t>
      </w:r>
      <w:r>
        <w:rPr>
          <w:rFonts w:hint="eastAsia"/>
        </w:rPr>
        <w:t>元）。</w:t>
      </w:r>
    </w:p>
    <w:p w:rsidR="00603F28" w:rsidRDefault="00041260">
      <w:pPr>
        <w:keepNext/>
        <w:ind w:firstLineChars="200" w:firstLine="420"/>
      </w:pPr>
      <w:r>
        <w:rPr>
          <w:noProof/>
        </w:rPr>
        <w:drawing>
          <wp:inline distT="0" distB="0" distL="0" distR="0">
            <wp:extent cx="4848225" cy="4143375"/>
            <wp:effectExtent l="0" t="0" r="0" b="0"/>
            <wp:docPr id="72" name="图表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w:instrText>
      </w:r>
      <w:r>
        <w:rPr>
          <w:rFonts w:hint="eastAsia"/>
        </w:rPr>
        <w:instrText>IC</w:instrText>
      </w:r>
      <w:r>
        <w:fldChar w:fldCharType="separate"/>
      </w:r>
      <w:r>
        <w:t>5</w:t>
      </w:r>
      <w:r>
        <w:fldChar w:fldCharType="end"/>
      </w:r>
      <w:r>
        <w:t xml:space="preserve">  2019</w:t>
      </w:r>
      <w:r>
        <w:rPr>
          <w:rFonts w:hint="eastAsia"/>
        </w:rPr>
        <w:t>届本科毕业生各学院平均薪资</w:t>
      </w:r>
    </w:p>
    <w:p w:rsidR="00603F28" w:rsidRDefault="00041260">
      <w:pPr>
        <w:ind w:firstLineChars="200" w:firstLine="420"/>
      </w:pPr>
      <w:r>
        <w:rPr>
          <w:rFonts w:hint="eastAsia"/>
        </w:rPr>
        <w:t>从各行业就业毕业生平均薪资来看，公共管理、社会保障和社会组织就业的毕业生平均</w:t>
      </w:r>
      <w:r>
        <w:rPr>
          <w:rFonts w:hint="eastAsia"/>
        </w:rPr>
        <w:lastRenderedPageBreak/>
        <w:t>薪资相对更高，为</w:t>
      </w:r>
      <w:r>
        <w:rPr>
          <w:rFonts w:hint="eastAsia"/>
        </w:rPr>
        <w:t>8</w:t>
      </w:r>
      <w:r>
        <w:t>75</w:t>
      </w:r>
      <w:r>
        <w:rPr>
          <w:rFonts w:hint="eastAsia"/>
        </w:rPr>
        <w:t>0</w:t>
      </w:r>
      <w:r>
        <w:rPr>
          <w:rFonts w:hint="eastAsia"/>
        </w:rPr>
        <w:t>元；其次是电力、热力、燃气及水生产和供应业（</w:t>
      </w:r>
      <w:r>
        <w:rPr>
          <w:rFonts w:hint="eastAsia"/>
        </w:rPr>
        <w:t>7000</w:t>
      </w:r>
      <w:r>
        <w:rPr>
          <w:rFonts w:hint="eastAsia"/>
        </w:rPr>
        <w:t>元），房地产业（</w:t>
      </w:r>
      <w:r>
        <w:rPr>
          <w:rFonts w:hint="eastAsia"/>
        </w:rPr>
        <w:t>6953</w:t>
      </w:r>
      <w:r>
        <w:rPr>
          <w:rFonts w:hint="eastAsia"/>
        </w:rPr>
        <w:t>元）和信息传输、软件和信息技术服务业（</w:t>
      </w:r>
      <w:r>
        <w:rPr>
          <w:rFonts w:hint="eastAsia"/>
        </w:rPr>
        <w:t>6938</w:t>
      </w:r>
      <w:r>
        <w:rPr>
          <w:rFonts w:hint="eastAsia"/>
        </w:rPr>
        <w:t>元）。其中金融业行业的平均薪资为（</w:t>
      </w:r>
      <w:r>
        <w:rPr>
          <w:rFonts w:hint="eastAsia"/>
        </w:rPr>
        <w:t>64</w:t>
      </w:r>
      <w:r>
        <w:t>54</w:t>
      </w:r>
      <w:r>
        <w:rPr>
          <w:rFonts w:hint="eastAsia"/>
        </w:rPr>
        <w:t>元）。</w:t>
      </w:r>
    </w:p>
    <w:p w:rsidR="00603F28" w:rsidRDefault="00041260">
      <w:pPr>
        <w:pStyle w:val="a3"/>
      </w:pPr>
      <w:r>
        <w:rPr>
          <w:rFonts w:hint="eastAsia"/>
        </w:rPr>
        <w:t>表</w:t>
      </w:r>
      <w:r>
        <w:rPr>
          <w:rFonts w:hint="eastAsia"/>
        </w:rPr>
        <w:t>3-</w:t>
      </w:r>
      <w:r>
        <w:fldChar w:fldCharType="begin"/>
      </w:r>
      <w:r>
        <w:rPr>
          <w:rFonts w:hint="eastAsia"/>
        </w:rPr>
        <w:instrText xml:space="preserve">SEQ </w:instrText>
      </w:r>
      <w:r>
        <w:rPr>
          <w:rFonts w:hint="eastAsia"/>
        </w:rPr>
        <w:instrText>表</w:instrText>
      </w:r>
      <w:r>
        <w:rPr>
          <w:rFonts w:hint="eastAsia"/>
        </w:rPr>
        <w:instrText>3- \* ARABIC</w:instrText>
      </w:r>
      <w:r>
        <w:fldChar w:fldCharType="separate"/>
      </w:r>
      <w:r>
        <w:t>1</w:t>
      </w:r>
      <w:r>
        <w:fldChar w:fldCharType="end"/>
      </w:r>
      <w:r>
        <w:t xml:space="preserve">  2019</w:t>
      </w:r>
      <w:r>
        <w:rPr>
          <w:rFonts w:hint="eastAsia"/>
        </w:rPr>
        <w:t>届本科毕业生各行业平均薪资</w:t>
      </w:r>
    </w:p>
    <w:tbl>
      <w:tblPr>
        <w:tblW w:w="5000" w:type="pct"/>
        <w:tblLook w:val="04A0" w:firstRow="1" w:lastRow="0" w:firstColumn="1" w:lastColumn="0" w:noHBand="0" w:noVBand="1"/>
      </w:tblPr>
      <w:tblGrid>
        <w:gridCol w:w="1550"/>
        <w:gridCol w:w="5004"/>
        <w:gridCol w:w="1742"/>
      </w:tblGrid>
      <w:tr w:rsidR="00603F28">
        <w:trPr>
          <w:trHeight w:val="300"/>
          <w:tblHeader/>
        </w:trPr>
        <w:tc>
          <w:tcPr>
            <w:tcW w:w="93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301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行业</w:t>
            </w:r>
          </w:p>
        </w:tc>
        <w:tc>
          <w:tcPr>
            <w:tcW w:w="105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平均薪资</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公共管理、社会保障和社会组织</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8750</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电力、热力、燃气及水生产和供应业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7000</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房地产业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6953</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信息传输、软件和信息技术服务业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6938</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科学研究和技术服务业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6500</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6454</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交通运输、仓储和邮政业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6400</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租赁和商务服务业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6326</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水利、环境和公共设施管理业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6227</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制造业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6185</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建筑业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6113</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农、林、牧、渔业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5800</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批发和零售业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5794</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住宿和餐饮业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5667</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文化、体育和娱乐业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5608</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居民服务、修理和其它服务业</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5577</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教育</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5538</w:t>
            </w:r>
          </w:p>
        </w:tc>
      </w:tr>
      <w:tr w:rsidR="00603F28">
        <w:trPr>
          <w:trHeight w:val="300"/>
        </w:trPr>
        <w:tc>
          <w:tcPr>
            <w:tcW w:w="93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301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卫生和社会工作</w:t>
            </w:r>
          </w:p>
        </w:tc>
        <w:tc>
          <w:tcPr>
            <w:tcW w:w="10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5422</w:t>
            </w:r>
          </w:p>
        </w:tc>
      </w:tr>
      <w:tr w:rsidR="00603F28">
        <w:trPr>
          <w:trHeight w:val="300"/>
        </w:trPr>
        <w:tc>
          <w:tcPr>
            <w:tcW w:w="93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301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采矿业</w:t>
            </w:r>
          </w:p>
        </w:tc>
        <w:tc>
          <w:tcPr>
            <w:tcW w:w="10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4900</w:t>
            </w:r>
          </w:p>
        </w:tc>
      </w:tr>
    </w:tbl>
    <w:p w:rsidR="00603F28" w:rsidRDefault="00041260">
      <w:pPr>
        <w:pStyle w:val="4"/>
        <w:ind w:firstLineChars="200" w:firstLine="422"/>
      </w:pPr>
      <w:r>
        <w:rPr>
          <w:rFonts w:hint="eastAsia"/>
        </w:rPr>
        <w:t>2</w:t>
      </w:r>
      <w:r>
        <w:t>.</w:t>
      </w:r>
      <w:r>
        <w:rPr>
          <w:rFonts w:hint="eastAsia"/>
        </w:rPr>
        <w:t>金融业细分行业平均薪资</w:t>
      </w:r>
    </w:p>
    <w:p w:rsidR="00603F28" w:rsidRDefault="00041260">
      <w:pPr>
        <w:ind w:firstLineChars="200" w:firstLine="420"/>
      </w:pPr>
      <w:r>
        <w:rPr>
          <w:rFonts w:hint="eastAsia"/>
        </w:rPr>
        <w:t>在金融业就业的毕业生中，平均薪资均在</w:t>
      </w:r>
      <w:r>
        <w:t>5</w:t>
      </w:r>
      <w:r>
        <w:rPr>
          <w:rFonts w:hint="eastAsia"/>
        </w:rPr>
        <w:t>000</w:t>
      </w:r>
      <w:r>
        <w:rPr>
          <w:rFonts w:hint="eastAsia"/>
        </w:rPr>
        <w:t>元以上；其中平均薪资较高的主要是信托（</w:t>
      </w:r>
      <w:r>
        <w:rPr>
          <w:rFonts w:hint="eastAsia"/>
        </w:rPr>
        <w:t>8</w:t>
      </w:r>
      <w:r>
        <w:t>751</w:t>
      </w:r>
      <w:r>
        <w:rPr>
          <w:rFonts w:hint="eastAsia"/>
        </w:rPr>
        <w:t>元）、新金融（</w:t>
      </w:r>
      <w:r>
        <w:rPr>
          <w:rFonts w:hint="eastAsia"/>
        </w:rPr>
        <w:t>6682</w:t>
      </w:r>
      <w:r>
        <w:rPr>
          <w:rFonts w:hint="eastAsia"/>
        </w:rPr>
        <w:t>元）和资产管理（</w:t>
      </w:r>
      <w:r>
        <w:rPr>
          <w:rFonts w:hint="eastAsia"/>
        </w:rPr>
        <w:t>6575</w:t>
      </w:r>
      <w:r>
        <w:rPr>
          <w:rFonts w:hint="eastAsia"/>
        </w:rPr>
        <w:t>元）等。</w:t>
      </w:r>
    </w:p>
    <w:p w:rsidR="00603F28" w:rsidRDefault="00041260">
      <w:pPr>
        <w:keepNext/>
        <w:jc w:val="center"/>
      </w:pPr>
      <w:r>
        <w:rPr>
          <w:noProof/>
        </w:rPr>
        <w:lastRenderedPageBreak/>
        <w:drawing>
          <wp:inline distT="0" distB="0" distL="0" distR="0">
            <wp:extent cx="4419600" cy="2760345"/>
            <wp:effectExtent l="0" t="0" r="0" b="1905"/>
            <wp:docPr id="103" name="图表 10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6</w:t>
      </w:r>
      <w:r>
        <w:fldChar w:fldCharType="end"/>
      </w:r>
      <w:r>
        <w:t xml:space="preserve">  2019</w:t>
      </w:r>
      <w:r>
        <w:t>届</w:t>
      </w:r>
      <w:r>
        <w:rPr>
          <w:rFonts w:hint="eastAsia"/>
        </w:rPr>
        <w:t>本科毕业生</w:t>
      </w:r>
      <w:r>
        <w:t>金融业行业</w:t>
      </w:r>
      <w:r>
        <w:rPr>
          <w:rFonts w:hint="eastAsia"/>
        </w:rPr>
        <w:t>平均薪资</w:t>
      </w:r>
    </w:p>
    <w:p w:rsidR="00603F28" w:rsidRDefault="00041260">
      <w:pPr>
        <w:pStyle w:val="4"/>
        <w:ind w:firstLineChars="200" w:firstLine="422"/>
      </w:pPr>
      <w:r>
        <w:rPr>
          <w:rFonts w:hint="eastAsia"/>
        </w:rPr>
        <w:t>3</w:t>
      </w:r>
      <w:r>
        <w:t>.</w:t>
      </w:r>
      <w:r>
        <w:rPr>
          <w:rFonts w:hint="eastAsia"/>
        </w:rPr>
        <w:t>薪资满意度</w:t>
      </w:r>
    </w:p>
    <w:p w:rsidR="00603F28" w:rsidRDefault="00041260">
      <w:pPr>
        <w:ind w:firstLineChars="200" w:firstLine="420"/>
        <w:jc w:val="left"/>
      </w:pPr>
      <w:r>
        <w:rPr>
          <w:rFonts w:hint="eastAsia"/>
        </w:rPr>
        <w:t>2</w:t>
      </w:r>
      <w:r>
        <w:t>019</w:t>
      </w:r>
      <w:r>
        <w:rPr>
          <w:rFonts w:hint="eastAsia"/>
        </w:rPr>
        <w:t>届本科毕业生中，</w:t>
      </w:r>
      <w:r>
        <w:rPr>
          <w:rFonts w:hint="eastAsia"/>
        </w:rPr>
        <w:t>68.8</w:t>
      </w:r>
      <w:r>
        <w:t>7</w:t>
      </w:r>
      <w:r>
        <w:rPr>
          <w:rFonts w:hint="eastAsia"/>
        </w:rPr>
        <w:t>%</w:t>
      </w:r>
      <w:r>
        <w:rPr>
          <w:rFonts w:hint="eastAsia"/>
        </w:rPr>
        <w:t>的毕业生对自己目前的薪资感到满意。</w:t>
      </w:r>
    </w:p>
    <w:p w:rsidR="00603F28" w:rsidRDefault="00041260">
      <w:pPr>
        <w:keepNext/>
        <w:jc w:val="center"/>
      </w:pPr>
      <w:r>
        <w:rPr>
          <w:noProof/>
        </w:rPr>
        <w:drawing>
          <wp:inline distT="0" distB="0" distL="0" distR="0">
            <wp:extent cx="4810125" cy="2743200"/>
            <wp:effectExtent l="0" t="0" r="0" b="0"/>
            <wp:docPr id="55"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7</w:t>
      </w:r>
      <w:r>
        <w:fldChar w:fldCharType="end"/>
      </w:r>
      <w:r>
        <w:t xml:space="preserve">  2019</w:t>
      </w:r>
      <w:r>
        <w:rPr>
          <w:rFonts w:hint="eastAsia"/>
        </w:rPr>
        <w:t>届本科毕业生薪资满意度</w:t>
      </w:r>
    </w:p>
    <w:p w:rsidR="00603F28" w:rsidRDefault="00041260">
      <w:pPr>
        <w:pStyle w:val="3"/>
      </w:pPr>
      <w:bookmarkStart w:id="66" w:name="_Toc27642623"/>
      <w:r>
        <w:rPr>
          <w:rFonts w:hint="eastAsia"/>
        </w:rPr>
        <w:t>（二）期望薪资达成率</w:t>
      </w:r>
      <w:bookmarkEnd w:id="66"/>
    </w:p>
    <w:p w:rsidR="00603F28" w:rsidRDefault="00041260">
      <w:pPr>
        <w:ind w:firstLineChars="200" w:firstLine="420"/>
      </w:pPr>
      <w:r>
        <w:rPr>
          <w:rFonts w:hint="eastAsia"/>
        </w:rPr>
        <w:t>2019</w:t>
      </w:r>
      <w:r>
        <w:rPr>
          <w:rFonts w:hint="eastAsia"/>
        </w:rPr>
        <w:t>届本科毕业生总体期望薪资达成率为</w:t>
      </w:r>
      <w:r>
        <w:rPr>
          <w:rFonts w:hint="eastAsia"/>
        </w:rPr>
        <w:t>26.65%</w:t>
      </w:r>
      <w:r>
        <w:rPr>
          <w:rFonts w:hint="eastAsia"/>
        </w:rPr>
        <w:t>，较少数的毕业生的薪资水平完全达到了期望；针对毕业生期望的最低薪资而言，最低期望薪资达成率为</w:t>
      </w:r>
      <w:r>
        <w:rPr>
          <w:rFonts w:hint="eastAsia"/>
        </w:rPr>
        <w:t>82.99%</w:t>
      </w:r>
      <w:r>
        <w:rPr>
          <w:rFonts w:hint="eastAsia"/>
        </w:rPr>
        <w:t>。</w:t>
      </w:r>
    </w:p>
    <w:p w:rsidR="00603F28" w:rsidRDefault="00041260">
      <w:pPr>
        <w:ind w:firstLineChars="200" w:firstLine="420"/>
        <w:jc w:val="left"/>
      </w:pPr>
      <w:r>
        <w:rPr>
          <w:rFonts w:hint="eastAsia"/>
        </w:rPr>
        <w:t>分学院来看，会计学院和金融学院的期望薪资达成率最高，分别为</w:t>
      </w:r>
      <w:r>
        <w:rPr>
          <w:rFonts w:hint="eastAsia"/>
        </w:rPr>
        <w:t>40.67%</w:t>
      </w:r>
      <w:r>
        <w:rPr>
          <w:rFonts w:hint="eastAsia"/>
        </w:rPr>
        <w:t>和</w:t>
      </w:r>
      <w:r>
        <w:rPr>
          <w:rFonts w:hint="eastAsia"/>
        </w:rPr>
        <w:t>40.35%</w:t>
      </w:r>
      <w:r>
        <w:rPr>
          <w:rFonts w:hint="eastAsia"/>
        </w:rPr>
        <w:t>。从平均薪资来看，软件与物联网工程学院毕业生平均薪资相对更高，为</w:t>
      </w:r>
      <w:r>
        <w:rPr>
          <w:rFonts w:hint="eastAsia"/>
        </w:rPr>
        <w:t>7422</w:t>
      </w:r>
      <w:r>
        <w:rPr>
          <w:rFonts w:hint="eastAsia"/>
        </w:rPr>
        <w:t>元。会计学院</w:t>
      </w:r>
      <w:r>
        <w:rPr>
          <w:rFonts w:hint="eastAsia"/>
        </w:rPr>
        <w:lastRenderedPageBreak/>
        <w:t>和金融学院在保持较高实际薪资的同时，</w:t>
      </w:r>
      <w:r>
        <w:rPr>
          <w:rFonts w:hint="eastAsia"/>
        </w:rPr>
        <w:t>也有较高的薪资达成率，体现出两个学院多数毕业生的就业能力和综合素质足以让自己获得预期回报。此外，软件与物联网工程学院毕业生虽然有着相对最高的薪资水平，但由于期望较高，因此薪资达成率反而下降，一方面由于该学院毕业生自身技术实力较强，另一方面由于物联网等电子产业相关行业新兴，发展潜力较大，从而导致该现象。</w:t>
      </w:r>
    </w:p>
    <w:p w:rsidR="00603F28" w:rsidRDefault="00041260">
      <w:pPr>
        <w:ind w:firstLineChars="200" w:firstLine="420"/>
        <w:jc w:val="left"/>
      </w:pPr>
      <w:r>
        <w:rPr>
          <w:rFonts w:hint="eastAsia"/>
        </w:rPr>
        <w:t>综合而言，依然有大部分学院的毕业生的实际薪资难以满足自身期望。</w:t>
      </w:r>
    </w:p>
    <w:p w:rsidR="00603F28" w:rsidRDefault="00041260">
      <w:pPr>
        <w:pStyle w:val="a3"/>
      </w:pPr>
      <w:r>
        <w:rPr>
          <w:rFonts w:hint="eastAsia"/>
        </w:rPr>
        <w:t>表</w:t>
      </w:r>
      <w:r>
        <w:rPr>
          <w:rFonts w:hint="eastAsia"/>
        </w:rPr>
        <w:t>3-</w:t>
      </w:r>
      <w:r>
        <w:fldChar w:fldCharType="begin"/>
      </w:r>
      <w:r>
        <w:rPr>
          <w:rFonts w:hint="eastAsia"/>
        </w:rPr>
        <w:instrText xml:space="preserve">SEQ </w:instrText>
      </w:r>
      <w:r>
        <w:rPr>
          <w:rFonts w:hint="eastAsia"/>
        </w:rPr>
        <w:instrText>表</w:instrText>
      </w:r>
      <w:r>
        <w:rPr>
          <w:rFonts w:hint="eastAsia"/>
        </w:rPr>
        <w:instrText>3- \* ARABIC</w:instrText>
      </w:r>
      <w:r>
        <w:fldChar w:fldCharType="separate"/>
      </w:r>
      <w:r>
        <w:t>2</w:t>
      </w:r>
      <w:r>
        <w:fldChar w:fldCharType="end"/>
      </w:r>
      <w:r>
        <w:t xml:space="preserve">  2019</w:t>
      </w:r>
      <w:r>
        <w:rPr>
          <w:rFonts w:hint="eastAsia"/>
        </w:rPr>
        <w:t>届本科毕业生各学院薪资情况</w:t>
      </w:r>
    </w:p>
    <w:tbl>
      <w:tblPr>
        <w:tblW w:w="5223" w:type="pct"/>
        <w:tblInd w:w="-147" w:type="dxa"/>
        <w:tblLook w:val="04A0" w:firstRow="1" w:lastRow="0" w:firstColumn="1" w:lastColumn="0" w:noHBand="0" w:noVBand="1"/>
      </w:tblPr>
      <w:tblGrid>
        <w:gridCol w:w="2162"/>
        <w:gridCol w:w="939"/>
        <w:gridCol w:w="939"/>
        <w:gridCol w:w="1302"/>
        <w:gridCol w:w="1843"/>
        <w:gridCol w:w="1481"/>
      </w:tblGrid>
      <w:tr w:rsidR="00603F28">
        <w:trPr>
          <w:trHeight w:val="300"/>
          <w:tblHeader/>
        </w:trPr>
        <w:tc>
          <w:tcPr>
            <w:tcW w:w="1248"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院系名称</w:t>
            </w:r>
          </w:p>
        </w:tc>
        <w:tc>
          <w:tcPr>
            <w:tcW w:w="54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平均薪资</w:t>
            </w:r>
          </w:p>
        </w:tc>
        <w:tc>
          <w:tcPr>
            <w:tcW w:w="54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期望薪资</w:t>
            </w:r>
          </w:p>
        </w:tc>
        <w:tc>
          <w:tcPr>
            <w:tcW w:w="75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最低期望薪资</w:t>
            </w:r>
          </w:p>
        </w:tc>
        <w:tc>
          <w:tcPr>
            <w:tcW w:w="106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最低期望薪资达成率</w:t>
            </w:r>
          </w:p>
        </w:tc>
        <w:tc>
          <w:tcPr>
            <w:tcW w:w="85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期望薪资达成率</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6894</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8044</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5913</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84.00%</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40.67%</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6547</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7412</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5702</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85.96%</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40.35%</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5625</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7438</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4563</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95.83%</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29.17%</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7422</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10359</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7269</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74.63%</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25.37%</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5737</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7500</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5094</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81.25%</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25.00%</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5118</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7053</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4763</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73.68%</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23.68%</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6068</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7721</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5256</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81.40%</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23.26%</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4882</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7222</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4694</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75.00%</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22.22%</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6508</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8212</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5856</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86.44%</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22.03%</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6833</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8850</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6040</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84.00%</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20.00%</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6735</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8766</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6012</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83.95%</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19.75%</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5405</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7738</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5119</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76.19%</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19.05%</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5614</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7807</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5007</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82.67%</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18.67%</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旅游与城市管理学院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5519</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7404</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4942</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86.54%</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17.31%</w:t>
            </w:r>
          </w:p>
        </w:tc>
      </w:tr>
      <w:tr w:rsidR="00603F28">
        <w:trPr>
          <w:trHeight w:val="300"/>
        </w:trPr>
        <w:tc>
          <w:tcPr>
            <w:tcW w:w="124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5360</w:t>
            </w:r>
          </w:p>
        </w:tc>
        <w:tc>
          <w:tcPr>
            <w:tcW w:w="5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8152</w:t>
            </w:r>
          </w:p>
        </w:tc>
        <w:tc>
          <w:tcPr>
            <w:tcW w:w="75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5250</w:t>
            </w:r>
          </w:p>
        </w:tc>
        <w:tc>
          <w:tcPr>
            <w:tcW w:w="106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71.43%</w:t>
            </w:r>
          </w:p>
        </w:tc>
        <w:tc>
          <w:tcPr>
            <w:tcW w:w="8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16.07%</w:t>
            </w:r>
          </w:p>
        </w:tc>
      </w:tr>
      <w:tr w:rsidR="00603F28">
        <w:trPr>
          <w:trHeight w:val="300"/>
        </w:trPr>
        <w:tc>
          <w:tcPr>
            <w:tcW w:w="124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6067</w:t>
            </w:r>
          </w:p>
        </w:tc>
        <w:tc>
          <w:tcPr>
            <w:tcW w:w="5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7942</w:t>
            </w:r>
          </w:p>
        </w:tc>
        <w:tc>
          <w:tcPr>
            <w:tcW w:w="75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5008</w:t>
            </w:r>
          </w:p>
        </w:tc>
        <w:tc>
          <w:tcPr>
            <w:tcW w:w="106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90.00%</w:t>
            </w:r>
          </w:p>
        </w:tc>
        <w:tc>
          <w:tcPr>
            <w:tcW w:w="8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15.00%</w:t>
            </w:r>
          </w:p>
        </w:tc>
      </w:tr>
    </w:tbl>
    <w:p w:rsidR="00603F28" w:rsidRDefault="00041260">
      <w:pPr>
        <w:pStyle w:val="3"/>
      </w:pPr>
      <w:bookmarkStart w:id="67" w:name="_Toc27642624"/>
      <w:r>
        <w:rPr>
          <w:rFonts w:hint="eastAsia"/>
        </w:rPr>
        <w:t>（三）社会保障情况及满意度</w:t>
      </w:r>
      <w:bookmarkEnd w:id="67"/>
    </w:p>
    <w:p w:rsidR="00603F28" w:rsidRDefault="00041260">
      <w:pPr>
        <w:ind w:firstLineChars="200" w:firstLine="420"/>
      </w:pPr>
      <w:r>
        <w:rPr>
          <w:rFonts w:hint="eastAsia"/>
        </w:rPr>
        <w:t>2</w:t>
      </w:r>
      <w:r>
        <w:t>019</w:t>
      </w:r>
      <w:r>
        <w:rPr>
          <w:rFonts w:hint="eastAsia"/>
        </w:rPr>
        <w:t>届本科毕业生中，</w:t>
      </w:r>
      <w:r>
        <w:t>97.99</w:t>
      </w:r>
      <w:r>
        <w:rPr>
          <w:rFonts w:hint="eastAsia"/>
        </w:rPr>
        <w:t>%</w:t>
      </w:r>
      <w:r>
        <w:rPr>
          <w:rFonts w:hint="eastAsia"/>
        </w:rPr>
        <w:t>的毕业生所在单位均提供了社会保障，其中</w:t>
      </w:r>
      <w:r>
        <w:t>82.23</w:t>
      </w:r>
      <w:r>
        <w:rPr>
          <w:rFonts w:hint="eastAsia"/>
        </w:rPr>
        <w:t>%</w:t>
      </w:r>
      <w:r>
        <w:rPr>
          <w:rFonts w:hint="eastAsia"/>
        </w:rPr>
        <w:t>的毕业生获得了五险一金以及更高程度的社会保障。</w:t>
      </w:r>
      <w:r>
        <w:rPr>
          <w:rFonts w:ascii="宋体" w:hAnsi="宋体" w:cs="宋体" w:hint="eastAsia"/>
        </w:rPr>
        <w:t>毕业生对就业单位提供的社会保障总体满意度达到</w:t>
      </w:r>
      <w:r>
        <w:t>87.63%</w:t>
      </w:r>
      <w:r>
        <w:rPr>
          <w:rFonts w:ascii="宋体" w:hAnsi="宋体" w:cs="宋体" w:hint="eastAsia"/>
        </w:rPr>
        <w:t>，满意度水平较高。</w:t>
      </w:r>
    </w:p>
    <w:p w:rsidR="00603F28" w:rsidRDefault="00041260">
      <w:pPr>
        <w:pStyle w:val="2"/>
      </w:pPr>
      <w:bookmarkStart w:id="68" w:name="_Toc27642625"/>
      <w:r>
        <w:rPr>
          <w:rFonts w:hint="eastAsia"/>
        </w:rPr>
        <w:t>四、岗位评价</w:t>
      </w:r>
      <w:bookmarkEnd w:id="68"/>
    </w:p>
    <w:p w:rsidR="00603F28" w:rsidRDefault="00041260">
      <w:pPr>
        <w:ind w:firstLineChars="200" w:firstLine="420"/>
      </w:pPr>
      <w:r>
        <w:rPr>
          <w:rFonts w:hint="eastAsia"/>
        </w:rPr>
        <w:t>2</w:t>
      </w:r>
      <w:r>
        <w:t>019</w:t>
      </w:r>
      <w:r>
        <w:rPr>
          <w:rFonts w:hint="eastAsia"/>
        </w:rPr>
        <w:t>届本科毕业生中，</w:t>
      </w:r>
      <w:r>
        <w:rPr>
          <w:rFonts w:hint="eastAsia"/>
        </w:rPr>
        <w:t>9</w:t>
      </w:r>
      <w:r>
        <w:t>3.04</w:t>
      </w:r>
      <w:r>
        <w:rPr>
          <w:rFonts w:hint="eastAsia"/>
        </w:rPr>
        <w:t>%</w:t>
      </w:r>
      <w:r>
        <w:rPr>
          <w:rFonts w:hint="eastAsia"/>
        </w:rPr>
        <w:t>的毕业生认为已签约单位在业界知名度和认可度比较高；</w:t>
      </w:r>
      <w:r>
        <w:rPr>
          <w:rFonts w:hint="eastAsia"/>
        </w:rPr>
        <w:t>87.91%</w:t>
      </w:r>
      <w:r>
        <w:rPr>
          <w:rFonts w:hint="eastAsia"/>
        </w:rPr>
        <w:t>的毕业生对自己当前的工作环境感到满意；</w:t>
      </w:r>
      <w:r>
        <w:t>70.78</w:t>
      </w:r>
      <w:r>
        <w:rPr>
          <w:rFonts w:hint="eastAsia"/>
        </w:rPr>
        <w:t>%</w:t>
      </w:r>
      <w:r>
        <w:rPr>
          <w:rFonts w:hint="eastAsia"/>
        </w:rPr>
        <w:t>的毕业生认为自己的工作压力较大。</w:t>
      </w:r>
    </w:p>
    <w:p w:rsidR="00603F28" w:rsidRDefault="00041260">
      <w:pPr>
        <w:ind w:firstLineChars="200" w:firstLine="420"/>
      </w:pPr>
      <w:r>
        <w:rPr>
          <w:rFonts w:cs="Times New Roman"/>
        </w:rPr>
        <w:t>根据我国《劳动法》的相关规定，我国实行劳动者每日工作时间不超过</w:t>
      </w:r>
      <w:r>
        <w:rPr>
          <w:rFonts w:cs="Times New Roman"/>
        </w:rPr>
        <w:t>8</w:t>
      </w:r>
      <w:r>
        <w:rPr>
          <w:rFonts w:cs="Times New Roman"/>
        </w:rPr>
        <w:t>小时、周均工作时长不超过</w:t>
      </w:r>
      <w:r>
        <w:rPr>
          <w:rFonts w:cs="Times New Roman"/>
        </w:rPr>
        <w:t>44</w:t>
      </w:r>
      <w:r>
        <w:rPr>
          <w:rFonts w:cs="Times New Roman"/>
        </w:rPr>
        <w:t>小时的工时制度。</w:t>
      </w:r>
      <w:r>
        <w:rPr>
          <w:rFonts w:cs="Times New Roman" w:hint="eastAsia"/>
        </w:rPr>
        <w:t>2019</w:t>
      </w:r>
      <w:r>
        <w:rPr>
          <w:rFonts w:cs="Times New Roman" w:hint="eastAsia"/>
        </w:rPr>
        <w:t>届本科毕业生周均工作</w:t>
      </w:r>
      <w:r>
        <w:rPr>
          <w:rFonts w:cs="Times New Roman" w:hint="eastAsia"/>
        </w:rPr>
        <w:t>46</w:t>
      </w:r>
      <w:r>
        <w:rPr>
          <w:rFonts w:cs="Times New Roman" w:hint="eastAsia"/>
        </w:rPr>
        <w:t>小时，</w:t>
      </w:r>
      <w:r>
        <w:rPr>
          <w:rFonts w:cs="Times New Roman" w:hint="eastAsia"/>
        </w:rPr>
        <w:t>4</w:t>
      </w:r>
      <w:r>
        <w:rPr>
          <w:rFonts w:cs="Times New Roman"/>
        </w:rPr>
        <w:t>1.30</w:t>
      </w:r>
      <w:r>
        <w:rPr>
          <w:rFonts w:cs="Times New Roman" w:hint="eastAsia"/>
        </w:rPr>
        <w:t>%</w:t>
      </w:r>
      <w:r>
        <w:rPr>
          <w:rFonts w:cs="Times New Roman" w:hint="eastAsia"/>
        </w:rPr>
        <w:t>的毕业生工作时长在法定范围内，</w:t>
      </w:r>
      <w:r>
        <w:rPr>
          <w:rFonts w:cs="Times New Roman" w:hint="eastAsia"/>
        </w:rPr>
        <w:t>4</w:t>
      </w:r>
      <w:r>
        <w:rPr>
          <w:rFonts w:cs="Times New Roman"/>
        </w:rPr>
        <w:t>4.69</w:t>
      </w:r>
      <w:r>
        <w:rPr>
          <w:rFonts w:cs="Times New Roman" w:hint="eastAsia"/>
        </w:rPr>
        <w:t>%</w:t>
      </w:r>
      <w:r>
        <w:rPr>
          <w:rFonts w:cs="Times New Roman" w:hint="eastAsia"/>
        </w:rPr>
        <w:t>的毕业生面临加班压力，</w:t>
      </w:r>
      <w:r>
        <w:rPr>
          <w:rFonts w:cs="Times New Roman" w:hint="eastAsia"/>
        </w:rPr>
        <w:t>14.01%</w:t>
      </w:r>
      <w:r>
        <w:rPr>
          <w:rFonts w:cs="Times New Roman" w:hint="eastAsia"/>
        </w:rPr>
        <w:t>的毕业生周均工作时长在</w:t>
      </w:r>
      <w:r>
        <w:rPr>
          <w:rFonts w:cs="Times New Roman" w:hint="eastAsia"/>
        </w:rPr>
        <w:t>55</w:t>
      </w:r>
      <w:r>
        <w:rPr>
          <w:rFonts w:cs="Times New Roman" w:hint="eastAsia"/>
        </w:rPr>
        <w:t>小时以上，工作强度较大。</w:t>
      </w:r>
    </w:p>
    <w:p w:rsidR="00603F28" w:rsidRDefault="00041260">
      <w:pPr>
        <w:keepNext/>
        <w:jc w:val="center"/>
      </w:pPr>
      <w:r>
        <w:rPr>
          <w:noProof/>
        </w:rPr>
        <w:drawing>
          <wp:inline distT="0" distB="0" distL="0" distR="0">
            <wp:extent cx="2122805" cy="213931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127906" cy="2144452"/>
                    </a:xfrm>
                    <a:prstGeom prst="rect">
                      <a:avLst/>
                    </a:prstGeom>
                    <a:noFill/>
                  </pic:spPr>
                </pic:pic>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8</w:t>
      </w:r>
      <w:r>
        <w:fldChar w:fldCharType="end"/>
      </w:r>
      <w:r>
        <w:t xml:space="preserve">  2019</w:t>
      </w:r>
      <w:r>
        <w:rPr>
          <w:rFonts w:hint="eastAsia"/>
        </w:rPr>
        <w:t>届本科毕业生岗</w:t>
      </w:r>
      <w:r>
        <w:rPr>
          <w:rFonts w:hint="eastAsia"/>
        </w:rPr>
        <w:t>位评价</w:t>
      </w:r>
    </w:p>
    <w:p w:rsidR="00603F28" w:rsidRDefault="00041260">
      <w:pPr>
        <w:pStyle w:val="2"/>
      </w:pPr>
      <w:bookmarkStart w:id="69" w:name="_Toc27642626"/>
      <w:r>
        <w:rPr>
          <w:rFonts w:hint="eastAsia"/>
        </w:rPr>
        <w:t>五、就业发展评价</w:t>
      </w:r>
      <w:bookmarkEnd w:id="69"/>
    </w:p>
    <w:p w:rsidR="00603F28" w:rsidRDefault="00041260">
      <w:pPr>
        <w:ind w:firstLineChars="200" w:firstLine="420"/>
      </w:pPr>
      <w:r>
        <w:rPr>
          <w:rFonts w:hint="eastAsia"/>
        </w:rPr>
        <w:t>2</w:t>
      </w:r>
      <w:r>
        <w:t>019</w:t>
      </w:r>
      <w:r>
        <w:rPr>
          <w:rFonts w:hint="eastAsia"/>
        </w:rPr>
        <w:t>届本科毕业生中，</w:t>
      </w:r>
      <w:r>
        <w:t>85.35</w:t>
      </w:r>
      <w:r>
        <w:rPr>
          <w:rFonts w:hint="eastAsia"/>
        </w:rPr>
        <w:t>%</w:t>
      </w:r>
      <w:r>
        <w:rPr>
          <w:rFonts w:hint="eastAsia"/>
        </w:rPr>
        <w:t>的毕业生表示当前工作单位的晋升空间较大；</w:t>
      </w:r>
      <w:r>
        <w:t>89.85</w:t>
      </w:r>
      <w:r>
        <w:rPr>
          <w:rFonts w:hint="eastAsia"/>
        </w:rPr>
        <w:t>%</w:t>
      </w:r>
      <w:r>
        <w:rPr>
          <w:rFonts w:hint="eastAsia"/>
        </w:rPr>
        <w:t>的毕业生表示当前工作单位的培训机会较多；</w:t>
      </w:r>
      <w:r>
        <w:t>89</w:t>
      </w:r>
      <w:r>
        <w:rPr>
          <w:rFonts w:hint="eastAsia"/>
        </w:rPr>
        <w:t>.7</w:t>
      </w:r>
      <w:r>
        <w:t>4</w:t>
      </w:r>
      <w:r>
        <w:rPr>
          <w:rFonts w:hint="eastAsia"/>
        </w:rPr>
        <w:t>%</w:t>
      </w:r>
      <w:r>
        <w:rPr>
          <w:rFonts w:hint="eastAsia"/>
        </w:rPr>
        <w:t>的毕业生表示在当前工作单位的工作中能够获得较高的成就感。多数毕业生在当前工作单位能够获得晋升和发展的机会，获得较多机会对职业知识和技能进行提升，并且能够保持较高的工作成就感。</w:t>
      </w:r>
    </w:p>
    <w:p w:rsidR="00603F28" w:rsidRDefault="00041260">
      <w:r>
        <w:rPr>
          <w:noProof/>
        </w:rPr>
        <w:drawing>
          <wp:inline distT="0" distB="0" distL="0" distR="0">
            <wp:extent cx="5278755" cy="1647825"/>
            <wp:effectExtent l="0" t="0" r="0"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355393" cy="1671992"/>
                    </a:xfrm>
                    <a:prstGeom prst="rect">
                      <a:avLst/>
                    </a:prstGeom>
                    <a:noFill/>
                  </pic:spPr>
                </pic:pic>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9</w:t>
      </w:r>
      <w:r>
        <w:fldChar w:fldCharType="end"/>
      </w:r>
      <w:r>
        <w:rPr>
          <w:rFonts w:hint="eastAsia"/>
        </w:rPr>
        <w:t>2019</w:t>
      </w:r>
      <w:r>
        <w:rPr>
          <w:rFonts w:hint="eastAsia"/>
        </w:rPr>
        <w:t>届本科毕业生就业发展评价</w:t>
      </w:r>
    </w:p>
    <w:p w:rsidR="00603F28" w:rsidRDefault="00041260">
      <w:pPr>
        <w:pStyle w:val="2"/>
      </w:pPr>
      <w:bookmarkStart w:id="70" w:name="_Toc27642627"/>
      <w:r>
        <w:rPr>
          <w:rFonts w:hint="eastAsia"/>
        </w:rPr>
        <w:t>六、离职情况</w:t>
      </w:r>
      <w:bookmarkEnd w:id="70"/>
    </w:p>
    <w:p w:rsidR="00603F28" w:rsidRDefault="00041260">
      <w:pPr>
        <w:ind w:firstLineChars="200" w:firstLine="420"/>
      </w:pPr>
      <w:r>
        <w:rPr>
          <w:rFonts w:hint="eastAsia"/>
        </w:rPr>
        <w:t>2</w:t>
      </w:r>
      <w:r>
        <w:t>019</w:t>
      </w:r>
      <w:r>
        <w:rPr>
          <w:rFonts w:hint="eastAsia"/>
        </w:rPr>
        <w:t>届本科毕业生中，</w:t>
      </w:r>
      <w:r>
        <w:t>87.64</w:t>
      </w:r>
      <w:r>
        <w:rPr>
          <w:rFonts w:hint="eastAsia"/>
        </w:rPr>
        <w:t>%</w:t>
      </w:r>
      <w:r>
        <w:rPr>
          <w:rFonts w:hint="eastAsia"/>
        </w:rPr>
        <w:t>的毕业生没有更换过工作，离职率为</w:t>
      </w:r>
      <w:r>
        <w:rPr>
          <w:rFonts w:hint="eastAsia"/>
        </w:rPr>
        <w:t>1</w:t>
      </w:r>
      <w:r>
        <w:t>2.36</w:t>
      </w:r>
      <w:r>
        <w:rPr>
          <w:rFonts w:hint="eastAsia"/>
        </w:rPr>
        <w:t>%</w:t>
      </w:r>
      <w:r>
        <w:rPr>
          <w:rFonts w:hint="eastAsia"/>
        </w:rPr>
        <w:t>，其中离职</w:t>
      </w:r>
      <w:r>
        <w:rPr>
          <w:rFonts w:hint="eastAsia"/>
        </w:rPr>
        <w:t>2</w:t>
      </w:r>
      <w:r>
        <w:rPr>
          <w:rFonts w:hint="eastAsia"/>
        </w:rPr>
        <w:t>次及以上的比例仅为</w:t>
      </w:r>
      <w:r>
        <w:t>4.30</w:t>
      </w:r>
      <w:r>
        <w:rPr>
          <w:rFonts w:hint="eastAsia"/>
        </w:rPr>
        <w:t>%</w:t>
      </w:r>
      <w:r>
        <w:rPr>
          <w:rFonts w:hint="eastAsia"/>
        </w:rPr>
        <w:t>，毕业生就业稳定度较高。</w:t>
      </w:r>
    </w:p>
    <w:p w:rsidR="00603F28" w:rsidRDefault="00041260">
      <w:pPr>
        <w:keepNext/>
        <w:jc w:val="center"/>
      </w:pPr>
      <w:r>
        <w:rPr>
          <w:noProof/>
        </w:rPr>
        <w:drawing>
          <wp:inline distT="0" distB="0" distL="0" distR="0">
            <wp:extent cx="4848225" cy="3000375"/>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10</w:t>
      </w:r>
      <w:r>
        <w:fldChar w:fldCharType="end"/>
      </w:r>
      <w:r>
        <w:t xml:space="preserve">  2019</w:t>
      </w:r>
      <w:r>
        <w:rPr>
          <w:rFonts w:hint="eastAsia"/>
        </w:rPr>
        <w:t>届本科毕业生离职情况</w:t>
      </w:r>
    </w:p>
    <w:p w:rsidR="00603F28" w:rsidRDefault="00041260">
      <w:pPr>
        <w:ind w:firstLineChars="200" w:firstLine="420"/>
      </w:pPr>
      <w:r>
        <w:rPr>
          <w:rFonts w:hint="eastAsia"/>
        </w:rPr>
        <w:t>毕业生更换工作的主要原因是“薪资福利差”（</w:t>
      </w:r>
      <w:r>
        <w:t>18.22</w:t>
      </w:r>
      <w:r>
        <w:rPr>
          <w:rFonts w:hint="eastAsia"/>
        </w:rPr>
        <w:t>%</w:t>
      </w:r>
      <w:r>
        <w:rPr>
          <w:rFonts w:hint="eastAsia"/>
        </w:rPr>
        <w:t>）、“发展空间不大”（</w:t>
      </w:r>
      <w:r>
        <w:rPr>
          <w:rFonts w:hint="eastAsia"/>
        </w:rPr>
        <w:t>17.</w:t>
      </w:r>
      <w:r>
        <w:t>81</w:t>
      </w:r>
      <w:r>
        <w:rPr>
          <w:rFonts w:hint="eastAsia"/>
        </w:rPr>
        <w:t>%</w:t>
      </w:r>
      <w:r>
        <w:rPr>
          <w:rFonts w:hint="eastAsia"/>
        </w:rPr>
        <w:t>）；其次是“工作压力大”（</w:t>
      </w:r>
      <w:r>
        <w:rPr>
          <w:rFonts w:hint="eastAsia"/>
        </w:rPr>
        <w:t>14.91%</w:t>
      </w:r>
      <w:r>
        <w:rPr>
          <w:rFonts w:hint="eastAsia"/>
        </w:rPr>
        <w:t>）。薪资福利是毕业离职的主要因素，主要缘于毕业生对薪资的期望越来越高，而多数毕业生的实际薪资不能符合自身期望；此外，发展空间也是毕业生更换工作的主要原因，毕业生愈发关注在工作中的长足发展，当在岗位面临较长时间沉寂时，毕业生同样会考虑更换工作，但也需注意毕业生可能过于关注肉眼可见的成长，缺乏耐心，从而忽视了潜在发展空间。因此，学校在就业指导服务工作中，如何指导毕业</w:t>
      </w:r>
      <w:r>
        <w:rPr>
          <w:rFonts w:hint="eastAsia"/>
        </w:rPr>
        <w:t>生形成合理期待，树立正确、清晰的个人发展观念十分重要。</w:t>
      </w:r>
    </w:p>
    <w:p w:rsidR="00603F28" w:rsidRDefault="00041260">
      <w:pPr>
        <w:keepNext/>
      </w:pPr>
      <w:r>
        <w:rPr>
          <w:noProof/>
        </w:rPr>
        <w:drawing>
          <wp:inline distT="0" distB="0" distL="0" distR="0">
            <wp:extent cx="5274310" cy="2449830"/>
            <wp:effectExtent l="0" t="0" r="2540" b="762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603F28" w:rsidRDefault="00041260">
      <w:pPr>
        <w:pStyle w:val="a3"/>
      </w:pPr>
      <w:r>
        <w:rPr>
          <w:rFonts w:hint="eastAsia"/>
        </w:rPr>
        <w:t>图</w:t>
      </w:r>
      <w:r>
        <w:rPr>
          <w:rFonts w:hint="eastAsia"/>
        </w:rPr>
        <w:t>3-</w:t>
      </w:r>
      <w:r>
        <w:fldChar w:fldCharType="begin"/>
      </w:r>
      <w:r>
        <w:rPr>
          <w:rFonts w:hint="eastAsia"/>
        </w:rPr>
        <w:instrText xml:space="preserve">SEQ </w:instrText>
      </w:r>
      <w:r>
        <w:rPr>
          <w:rFonts w:hint="eastAsia"/>
        </w:rPr>
        <w:instrText>图</w:instrText>
      </w:r>
      <w:r>
        <w:rPr>
          <w:rFonts w:hint="eastAsia"/>
        </w:rPr>
        <w:instrText>3- \* ARABIC</w:instrText>
      </w:r>
      <w:r>
        <w:fldChar w:fldCharType="separate"/>
      </w:r>
      <w:r>
        <w:t>11</w:t>
      </w:r>
      <w:r>
        <w:fldChar w:fldCharType="end"/>
      </w:r>
      <w:r>
        <w:t xml:space="preserve">  2019</w:t>
      </w:r>
      <w:r>
        <w:rPr>
          <w:rFonts w:hint="eastAsia"/>
        </w:rPr>
        <w:t>届本科毕业生离职原因</w:t>
      </w:r>
    </w:p>
    <w:p w:rsidR="00603F28" w:rsidRDefault="00041260">
      <w:pPr>
        <w:pStyle w:val="2"/>
      </w:pPr>
      <w:bookmarkStart w:id="71" w:name="_Toc27642628"/>
      <w:r>
        <w:rPr>
          <w:rFonts w:hint="eastAsia"/>
        </w:rPr>
        <w:t>七、毕业生就业质量综合评价</w:t>
      </w:r>
      <w:bookmarkEnd w:id="71"/>
    </w:p>
    <w:p w:rsidR="00603F28" w:rsidRDefault="00041260">
      <w:pPr>
        <w:ind w:firstLineChars="200" w:firstLine="420"/>
        <w:rPr>
          <w:rFonts w:cs="Times New Roman"/>
        </w:rPr>
      </w:pPr>
      <w:r>
        <w:rPr>
          <w:rFonts w:hint="eastAsia"/>
        </w:rPr>
        <w:t>通过将就业满意度、月平均薪资、专业相关度、期待吻合度和发展前景（包含培训机会和晋升空间）</w:t>
      </w:r>
      <w:r>
        <w:rPr>
          <w:rFonts w:hint="eastAsia"/>
        </w:rPr>
        <w:t>5</w:t>
      </w:r>
      <w:r>
        <w:rPr>
          <w:rFonts w:hint="eastAsia"/>
        </w:rPr>
        <w:t>大方面</w:t>
      </w:r>
      <w:r>
        <w:rPr>
          <w:rFonts w:hint="eastAsia"/>
        </w:rPr>
        <w:t>6</w:t>
      </w:r>
      <w:r>
        <w:rPr>
          <w:rFonts w:hint="eastAsia"/>
        </w:rPr>
        <w:t>项指标</w:t>
      </w:r>
      <w:r>
        <w:rPr>
          <w:rFonts w:cs="Times New Roman"/>
        </w:rPr>
        <w:t>纳入多元统计模型中，以</w:t>
      </w:r>
      <w:r>
        <w:rPr>
          <w:rFonts w:cs="Times New Roman" w:hint="eastAsia"/>
        </w:rPr>
        <w:t>数据标准化和熵值法等</w:t>
      </w:r>
      <w:r>
        <w:rPr>
          <w:rFonts w:cs="Times New Roman"/>
        </w:rPr>
        <w:t>输出分类别的毕业生</w:t>
      </w:r>
      <w:r>
        <w:rPr>
          <w:rFonts w:cs="Times New Roman" w:hint="eastAsia"/>
        </w:rPr>
        <w:t>综合就业质量，结果以百分制分数</w:t>
      </w:r>
      <w:r>
        <w:rPr>
          <w:rFonts w:cs="Times New Roman" w:hint="eastAsia"/>
          <w:vertAlign w:val="superscript"/>
        </w:rPr>
        <w:t>[</w:t>
      </w:r>
      <w:r>
        <w:rPr>
          <w:rStyle w:val="afc"/>
        </w:rPr>
        <w:footnoteReference w:id="7"/>
      </w:r>
      <w:r>
        <w:rPr>
          <w:rFonts w:cs="Times New Roman"/>
          <w:vertAlign w:val="superscript"/>
        </w:rPr>
        <w:t>]</w:t>
      </w:r>
      <w:r>
        <w:rPr>
          <w:rFonts w:cs="Times New Roman" w:hint="eastAsia"/>
        </w:rPr>
        <w:t>展示</w:t>
      </w:r>
      <w:r>
        <w:rPr>
          <w:rFonts w:cs="Times New Roman"/>
        </w:rPr>
        <w:t>。</w:t>
      </w:r>
    </w:p>
    <w:p w:rsidR="00603F28" w:rsidRDefault="00041260">
      <w:pPr>
        <w:ind w:firstLineChars="200" w:firstLine="420"/>
      </w:pPr>
      <w:r>
        <w:rPr>
          <w:rFonts w:hint="eastAsia"/>
        </w:rPr>
        <w:t>2019</w:t>
      </w:r>
      <w:r>
        <w:rPr>
          <w:rFonts w:hint="eastAsia"/>
        </w:rPr>
        <w:t>届本科毕业生各学院就业质量综合评价数据显示，金融学院和会计学院的综合就业质量位列前</w:t>
      </w:r>
      <w:r>
        <w:rPr>
          <w:rFonts w:hint="eastAsia"/>
        </w:rPr>
        <w:t>2</w:t>
      </w:r>
      <w:r>
        <w:rPr>
          <w:rFonts w:hint="eastAsia"/>
        </w:rPr>
        <w:t>名，分别为</w:t>
      </w:r>
      <w:r>
        <w:rPr>
          <w:rFonts w:hint="eastAsia"/>
        </w:rPr>
        <w:t>84</w:t>
      </w:r>
      <w:r>
        <w:rPr>
          <w:rFonts w:hint="eastAsia"/>
        </w:rPr>
        <w:t>分和</w:t>
      </w:r>
      <w:r>
        <w:rPr>
          <w:rFonts w:hint="eastAsia"/>
        </w:rPr>
        <w:t>82.39</w:t>
      </w:r>
      <w:r>
        <w:rPr>
          <w:rFonts w:hint="eastAsia"/>
        </w:rPr>
        <w:t>分。金融学院</w:t>
      </w:r>
      <w:r>
        <w:rPr>
          <w:rFonts w:hint="eastAsia"/>
        </w:rPr>
        <w:t>和会计学院在所有学院中就业质量相对更高。</w:t>
      </w:r>
    </w:p>
    <w:p w:rsidR="00603F28" w:rsidRDefault="00041260">
      <w:pPr>
        <w:pStyle w:val="a3"/>
      </w:pPr>
      <w:r>
        <w:rPr>
          <w:rFonts w:hint="eastAsia"/>
        </w:rPr>
        <w:t>表</w:t>
      </w:r>
      <w:r>
        <w:rPr>
          <w:rFonts w:hint="eastAsia"/>
        </w:rPr>
        <w:t>3-</w:t>
      </w:r>
      <w:r>
        <w:fldChar w:fldCharType="begin"/>
      </w:r>
      <w:r>
        <w:rPr>
          <w:rFonts w:hint="eastAsia"/>
        </w:rPr>
        <w:instrText xml:space="preserve">SEQ </w:instrText>
      </w:r>
      <w:r>
        <w:rPr>
          <w:rFonts w:hint="eastAsia"/>
        </w:rPr>
        <w:instrText>表</w:instrText>
      </w:r>
      <w:r>
        <w:rPr>
          <w:rFonts w:hint="eastAsia"/>
        </w:rPr>
        <w:instrText>3- \* ARABIC</w:instrText>
      </w:r>
      <w:r>
        <w:fldChar w:fldCharType="separate"/>
      </w:r>
      <w:r>
        <w:t>3</w:t>
      </w:r>
      <w:r>
        <w:fldChar w:fldCharType="end"/>
      </w:r>
      <w:r>
        <w:t xml:space="preserve">  2019</w:t>
      </w:r>
      <w:r>
        <w:rPr>
          <w:rFonts w:hint="eastAsia"/>
        </w:rPr>
        <w:t>届</w:t>
      </w:r>
      <w:r>
        <w:t>本科毕业生</w:t>
      </w:r>
      <w:r>
        <w:rPr>
          <w:rFonts w:hint="eastAsia"/>
        </w:rPr>
        <w:t>分学院</w:t>
      </w:r>
      <w:r>
        <w:t>就业质量综合评价</w:t>
      </w:r>
    </w:p>
    <w:tbl>
      <w:tblPr>
        <w:tblW w:w="5504" w:type="pct"/>
        <w:tblInd w:w="-431" w:type="dxa"/>
        <w:tblLook w:val="04A0" w:firstRow="1" w:lastRow="0" w:firstColumn="1" w:lastColumn="0" w:noHBand="0" w:noVBand="1"/>
      </w:tblPr>
      <w:tblGrid>
        <w:gridCol w:w="2016"/>
        <w:gridCol w:w="1120"/>
        <w:gridCol w:w="1120"/>
        <w:gridCol w:w="1120"/>
        <w:gridCol w:w="939"/>
        <w:gridCol w:w="939"/>
        <w:gridCol w:w="939"/>
        <w:gridCol w:w="939"/>
      </w:tblGrid>
      <w:tr w:rsidR="00603F28">
        <w:trPr>
          <w:trHeight w:val="300"/>
          <w:tblHeader/>
        </w:trPr>
        <w:tc>
          <w:tcPr>
            <w:tcW w:w="110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院系名称</w:t>
            </w:r>
          </w:p>
        </w:tc>
        <w:tc>
          <w:tcPr>
            <w:tcW w:w="61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专业相关度</w:t>
            </w:r>
          </w:p>
        </w:tc>
        <w:tc>
          <w:tcPr>
            <w:tcW w:w="61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期待吻合度</w:t>
            </w:r>
          </w:p>
        </w:tc>
        <w:tc>
          <w:tcPr>
            <w:tcW w:w="61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就业满意度</w:t>
            </w:r>
          </w:p>
        </w:tc>
        <w:tc>
          <w:tcPr>
            <w:tcW w:w="51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平均薪资</w:t>
            </w:r>
          </w:p>
        </w:tc>
        <w:tc>
          <w:tcPr>
            <w:tcW w:w="51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培训机会</w:t>
            </w:r>
          </w:p>
        </w:tc>
        <w:tc>
          <w:tcPr>
            <w:tcW w:w="51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晋升空间</w:t>
            </w:r>
          </w:p>
        </w:tc>
        <w:tc>
          <w:tcPr>
            <w:tcW w:w="51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综合质量</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71.29</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71.65</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72.40</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90.19</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84.00</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82.87</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83.34</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59.57</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66.85</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82.39</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信息管理学院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63.92</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67.55</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71.45</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81.44</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88.48</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78.59</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软件与物联网工程学院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99.89</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87.85</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58.09</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34.37</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43.54</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71.21</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70.23</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49.18</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54.79</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78.32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61.22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58.56</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62.24</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财税与公共管理学院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53.98</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56.06</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47.53</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57.23</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77.19</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63.11</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59.10</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艺术学院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67.68</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52.55</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53.79</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34.92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52.34</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58.49</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53.44</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53.41</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41.88</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37.90</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71.18</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47.42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50.82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50.59</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旅游与城市管理学院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64.12</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56.17</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38.02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39.95</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50.34</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52.98</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50.45</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国际经贸学院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49.90</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51.98</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59.20</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42.94</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41.59</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51.77</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49.55</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34.95</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36.99</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42.57</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57.28</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64.13</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31.97</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44.50</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96.28</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48.07</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35.19</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19.83</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36.13</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21.51</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43.50</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人文学院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47.36</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44.72</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45.13</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43.29</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25.87</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36.76</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40.64</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11.50</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17.38</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38.82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36.34</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50.80</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55.58</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34.73</w:t>
            </w:r>
          </w:p>
        </w:tc>
      </w:tr>
      <w:tr w:rsidR="00603F28">
        <w:trPr>
          <w:trHeight w:val="300"/>
        </w:trPr>
        <w:tc>
          <w:tcPr>
            <w:tcW w:w="11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外国语学院</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41.67</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25.69</w:t>
            </w:r>
          </w:p>
        </w:tc>
        <w:tc>
          <w:tcPr>
            <w:tcW w:w="6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14.91</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46.82</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39.37</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38.15</w:t>
            </w:r>
          </w:p>
        </w:tc>
        <w:tc>
          <w:tcPr>
            <w:tcW w:w="51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34.62</w:t>
            </w:r>
          </w:p>
        </w:tc>
      </w:tr>
      <w:tr w:rsidR="00603F28">
        <w:trPr>
          <w:trHeight w:val="300"/>
        </w:trPr>
        <w:tc>
          <w:tcPr>
            <w:tcW w:w="11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统计学院</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33.22</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30.17</w:t>
            </w:r>
          </w:p>
        </w:tc>
        <w:tc>
          <w:tcPr>
            <w:tcW w:w="6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30.12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27.30</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19.92</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18.73</w:t>
            </w:r>
          </w:p>
        </w:tc>
        <w:tc>
          <w:tcPr>
            <w:tcW w:w="51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b/>
                <w:bCs/>
                <w:kern w:val="0"/>
                <w:sz w:val="18"/>
                <w:szCs w:val="18"/>
              </w:rPr>
            </w:pPr>
            <w:r>
              <w:rPr>
                <w:rFonts w:ascii="黑体" w:eastAsia="黑体" w:hAnsi="黑体" w:cs="Calibri" w:hint="eastAsia"/>
                <w:b/>
                <w:bCs/>
                <w:kern w:val="0"/>
                <w:sz w:val="18"/>
                <w:szCs w:val="18"/>
              </w:rPr>
              <w:t>26.67</w:t>
            </w:r>
          </w:p>
        </w:tc>
      </w:tr>
    </w:tbl>
    <w:p w:rsidR="00603F28" w:rsidRDefault="00041260">
      <w:pPr>
        <w:ind w:firstLineChars="200" w:firstLine="420"/>
      </w:pPr>
      <w:r>
        <w:rPr>
          <w:rFonts w:hint="eastAsia"/>
        </w:rPr>
        <w:t>2019</w:t>
      </w:r>
      <w:r>
        <w:rPr>
          <w:rFonts w:hint="eastAsia"/>
        </w:rPr>
        <w:t>届本科毕业生各专业类别就业质量综合评价数据显示，数学类、公共管理类、金融学类、计算机类和会计学类毕业生就业质量位列前</w:t>
      </w:r>
      <w:r>
        <w:rPr>
          <w:rFonts w:hint="eastAsia"/>
        </w:rPr>
        <w:t>5</w:t>
      </w:r>
      <w:r>
        <w:rPr>
          <w:rFonts w:hint="eastAsia"/>
        </w:rPr>
        <w:t>名，综合就业质量分数分别为</w:t>
      </w:r>
      <w:r>
        <w:rPr>
          <w:rFonts w:hint="eastAsia"/>
        </w:rPr>
        <w:t>93.52</w:t>
      </w:r>
      <w:r>
        <w:rPr>
          <w:rFonts w:hint="eastAsia"/>
        </w:rPr>
        <w:t>分、</w:t>
      </w:r>
      <w:r>
        <w:rPr>
          <w:rFonts w:hint="eastAsia"/>
        </w:rPr>
        <w:t>80.27</w:t>
      </w:r>
      <w:r>
        <w:rPr>
          <w:rFonts w:hint="eastAsia"/>
        </w:rPr>
        <w:t>分、</w:t>
      </w:r>
      <w:r>
        <w:rPr>
          <w:rFonts w:hint="eastAsia"/>
        </w:rPr>
        <w:t>77.84</w:t>
      </w:r>
      <w:r>
        <w:rPr>
          <w:rFonts w:hint="eastAsia"/>
        </w:rPr>
        <w:t>分、</w:t>
      </w:r>
      <w:r>
        <w:rPr>
          <w:rFonts w:hint="eastAsia"/>
        </w:rPr>
        <w:t>77.75</w:t>
      </w:r>
      <w:r>
        <w:rPr>
          <w:rFonts w:hint="eastAsia"/>
        </w:rPr>
        <w:t>分和</w:t>
      </w:r>
      <w:r>
        <w:rPr>
          <w:rFonts w:hint="eastAsia"/>
        </w:rPr>
        <w:t>76.64</w:t>
      </w:r>
      <w:r>
        <w:rPr>
          <w:rFonts w:hint="eastAsia"/>
        </w:rPr>
        <w:t>分。</w:t>
      </w:r>
    </w:p>
    <w:p w:rsidR="00603F28" w:rsidRDefault="00041260">
      <w:pPr>
        <w:pStyle w:val="a3"/>
      </w:pPr>
      <w:r>
        <w:rPr>
          <w:rFonts w:hint="eastAsia"/>
        </w:rPr>
        <w:t>表</w:t>
      </w:r>
      <w:r>
        <w:rPr>
          <w:rFonts w:hint="eastAsia"/>
        </w:rPr>
        <w:t>3-</w:t>
      </w:r>
      <w:r>
        <w:fldChar w:fldCharType="begin"/>
      </w:r>
      <w:r>
        <w:rPr>
          <w:rFonts w:hint="eastAsia"/>
        </w:rPr>
        <w:instrText xml:space="preserve">SEQ </w:instrText>
      </w:r>
      <w:r>
        <w:rPr>
          <w:rFonts w:hint="eastAsia"/>
        </w:rPr>
        <w:instrText>表</w:instrText>
      </w:r>
      <w:r>
        <w:rPr>
          <w:rFonts w:hint="eastAsia"/>
        </w:rPr>
        <w:instrText>3- \* ARABIC</w:instrText>
      </w:r>
      <w:r>
        <w:fldChar w:fldCharType="separate"/>
      </w:r>
      <w:r>
        <w:t>4</w:t>
      </w:r>
      <w:r>
        <w:fldChar w:fldCharType="end"/>
      </w:r>
      <w:r>
        <w:rPr>
          <w:rFonts w:hint="eastAsia"/>
        </w:rPr>
        <w:t>2019</w:t>
      </w:r>
      <w:r>
        <w:rPr>
          <w:rFonts w:hint="eastAsia"/>
        </w:rPr>
        <w:t>届本科毕业生分专业类别就业质量综合评价</w:t>
      </w:r>
    </w:p>
    <w:tbl>
      <w:tblPr>
        <w:tblW w:w="9497" w:type="dxa"/>
        <w:tblInd w:w="-572" w:type="dxa"/>
        <w:tblLook w:val="04A0" w:firstRow="1" w:lastRow="0" w:firstColumn="1" w:lastColumn="0" w:noHBand="0" w:noVBand="1"/>
      </w:tblPr>
      <w:tblGrid>
        <w:gridCol w:w="1792"/>
        <w:gridCol w:w="1212"/>
        <w:gridCol w:w="1212"/>
        <w:gridCol w:w="1213"/>
        <w:gridCol w:w="1017"/>
        <w:gridCol w:w="1017"/>
        <w:gridCol w:w="1017"/>
        <w:gridCol w:w="1017"/>
      </w:tblGrid>
      <w:tr w:rsidR="00603F28">
        <w:trPr>
          <w:trHeight w:val="285"/>
          <w:tblHeader/>
        </w:trPr>
        <w:tc>
          <w:tcPr>
            <w:tcW w:w="0" w:type="auto"/>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专业类别</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专业相关度</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期待吻合度</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就业满意度</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平均薪资</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培训机会</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晋升机会</w:t>
            </w:r>
          </w:p>
        </w:tc>
        <w:tc>
          <w:tcPr>
            <w:tcW w:w="0" w:type="auto"/>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综合质量</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数学类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66.69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92.39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93.52</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65.43</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75.05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81.37</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74.40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91.82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91.71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80.27</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71.38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63.60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84.78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79.06</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77.16</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87.45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77.84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计算机类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83.74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67.86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55.71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63.47</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77.75</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会计学类</w:t>
            </w:r>
            <w:r>
              <w:rPr>
                <w:rFonts w:ascii="黑体" w:eastAsia="黑体" w:hAnsi="黑体" w:cs="宋体" w:hint="eastAsia"/>
                <w:kern w:val="0"/>
                <w:sz w:val="18"/>
                <w:szCs w:val="18"/>
                <w:vertAlign w:val="superscript"/>
              </w:rPr>
              <w:t>[</w:t>
            </w:r>
            <w:r>
              <w:rPr>
                <w:rStyle w:val="afc"/>
                <w:rFonts w:ascii="黑体" w:eastAsia="黑体" w:hAnsi="黑体"/>
                <w:kern w:val="0"/>
                <w:sz w:val="18"/>
                <w:szCs w:val="18"/>
              </w:rPr>
              <w:footnoteReference w:id="8"/>
            </w:r>
            <w:r>
              <w:rPr>
                <w:rFonts w:ascii="黑体" w:eastAsia="黑体" w:hAnsi="黑体" w:cs="宋体"/>
                <w:kern w:val="0"/>
                <w:sz w:val="18"/>
                <w:szCs w:val="18"/>
                <w:vertAlign w:val="superscript"/>
              </w:rPr>
              <w:t>]</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91.40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79.12</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72.91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81.64</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65.31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71.01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76.64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工商管理类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68.90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62.10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59.06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78.52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51.83</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65.41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64.16</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电子信息类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46.69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54.63</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69.51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77.59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49.21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71.74</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62.16</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音乐与舞蹈学类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33.46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33.80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60.08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34.86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98.05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60.97</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管理科学与工程类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68.28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53.98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52.45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55.88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63.19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66.59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59.94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旅游管理类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22.69</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37.62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51.09</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97.75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76.15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68.91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59.00</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电子商务类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64.44</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52.90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58.08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57.35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54.25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64.47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58.74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财政学类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62.71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52.35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49.81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58.21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66.35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63.20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58.54</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新闻传播学类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65.11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57.67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51.09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68.83</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45.49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61.14</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58.04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经济与贸易类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52.57</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56.29</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69.42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52.70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49.35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61.29</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57.54</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设计学类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64.17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59.01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60.87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47.49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50.40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61.45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57.48</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中国语言文学类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69.83</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64.36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72.05</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23.84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65.93</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37.82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55.83</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法学类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77.27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53.10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49.99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33.65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45.49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44.37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50.50</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经济学类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43.48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45.16</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53.42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53.67</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51.78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48.98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49.58</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体育学类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33.46</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33.80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52.09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47.10</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55.23</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64.47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48.29</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外国语言文学类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46.51</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39.03</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38.22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55.64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47.64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54.18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46.73</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社会学类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37.77</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32.28</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77.64</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44.41</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20.96</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37.82</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43.24</w:t>
            </w:r>
          </w:p>
        </w:tc>
      </w:tr>
      <w:tr w:rsidR="00603F28">
        <w:trPr>
          <w:trHeight w:val="285"/>
        </w:trPr>
        <w:tc>
          <w:tcPr>
            <w:tcW w:w="0" w:type="auto"/>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物流管理与工程类</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39.08</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34.14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27.10</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64.64</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43.72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40.52</w:t>
            </w:r>
          </w:p>
        </w:tc>
        <w:tc>
          <w:tcPr>
            <w:tcW w:w="0" w:type="auto"/>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40.98</w:t>
            </w:r>
          </w:p>
        </w:tc>
      </w:tr>
      <w:tr w:rsidR="00603F28">
        <w:trPr>
          <w:trHeight w:val="285"/>
        </w:trPr>
        <w:tc>
          <w:tcPr>
            <w:tcW w:w="0" w:type="auto"/>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统计学类</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32.12</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24.26</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36.69</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25.05</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6.73</w:t>
            </w:r>
          </w:p>
        </w:tc>
        <w:tc>
          <w:tcPr>
            <w:tcW w:w="0" w:type="auto"/>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20.09</w:t>
            </w:r>
          </w:p>
        </w:tc>
      </w:tr>
    </w:tbl>
    <w:p w:rsidR="00603F28" w:rsidRDefault="00041260">
      <w:pPr>
        <w:ind w:firstLineChars="200" w:firstLine="420"/>
      </w:pPr>
      <w:r>
        <w:rPr>
          <w:rFonts w:hint="eastAsia"/>
        </w:rPr>
        <w:t>2019</w:t>
      </w:r>
      <w:r>
        <w:rPr>
          <w:rFonts w:hint="eastAsia"/>
        </w:rPr>
        <w:t>届本科毕业生各行业就业质量综合评价数据显示，公共管理、社会保障和社会组织就业的毕业生各项就业质量指标评价均达到最高，综合就业质量分数为</w:t>
      </w:r>
      <w:r>
        <w:rPr>
          <w:rFonts w:hint="eastAsia"/>
        </w:rPr>
        <w:t>1</w:t>
      </w:r>
      <w:r>
        <w:t>00</w:t>
      </w:r>
      <w:r>
        <w:rPr>
          <w:rFonts w:hint="eastAsia"/>
        </w:rPr>
        <w:t>分；其次是电力、热力、燃气及水生产和供应业，毕业生综合就业质量分数为</w:t>
      </w:r>
      <w:r>
        <w:rPr>
          <w:rFonts w:hint="eastAsia"/>
        </w:rPr>
        <w:t>7</w:t>
      </w:r>
      <w:r>
        <w:t>2.44</w:t>
      </w:r>
      <w:r>
        <w:rPr>
          <w:rFonts w:hint="eastAsia"/>
        </w:rPr>
        <w:t>分。</w:t>
      </w:r>
    </w:p>
    <w:p w:rsidR="00603F28" w:rsidRDefault="00041260">
      <w:pPr>
        <w:pStyle w:val="a3"/>
      </w:pPr>
      <w:r>
        <w:rPr>
          <w:rFonts w:hint="eastAsia"/>
        </w:rPr>
        <w:t>表</w:t>
      </w:r>
      <w:r>
        <w:rPr>
          <w:rFonts w:hint="eastAsia"/>
        </w:rPr>
        <w:t>3-</w:t>
      </w:r>
      <w:r>
        <w:fldChar w:fldCharType="begin"/>
      </w:r>
      <w:r>
        <w:rPr>
          <w:rFonts w:hint="eastAsia"/>
        </w:rPr>
        <w:instrText xml:space="preserve">SEQ </w:instrText>
      </w:r>
      <w:r>
        <w:rPr>
          <w:rFonts w:hint="eastAsia"/>
        </w:rPr>
        <w:instrText>表</w:instrText>
      </w:r>
      <w:r>
        <w:rPr>
          <w:rFonts w:hint="eastAsia"/>
        </w:rPr>
        <w:instrText>3- \* ARABIC</w:instrText>
      </w:r>
      <w:r>
        <w:fldChar w:fldCharType="separate"/>
      </w:r>
      <w:r>
        <w:t>5</w:t>
      </w:r>
      <w:r>
        <w:fldChar w:fldCharType="end"/>
      </w:r>
      <w:r>
        <w:t xml:space="preserve">  2019</w:t>
      </w:r>
      <w:r>
        <w:t>届</w:t>
      </w:r>
      <w:r>
        <w:rPr>
          <w:rFonts w:hint="eastAsia"/>
        </w:rPr>
        <w:t>本科毕业生分</w:t>
      </w:r>
      <w:r>
        <w:t>行业</w:t>
      </w:r>
      <w:r>
        <w:rPr>
          <w:rFonts w:hint="eastAsia"/>
        </w:rPr>
        <w:t>就业质量综合评价</w:t>
      </w:r>
    </w:p>
    <w:tbl>
      <w:tblPr>
        <w:tblW w:w="6396" w:type="pct"/>
        <w:tblInd w:w="-1139" w:type="dxa"/>
        <w:tblLook w:val="04A0" w:firstRow="1" w:lastRow="0" w:firstColumn="1" w:lastColumn="0" w:noHBand="0" w:noVBand="1"/>
      </w:tblPr>
      <w:tblGrid>
        <w:gridCol w:w="3496"/>
        <w:gridCol w:w="1120"/>
        <w:gridCol w:w="1120"/>
        <w:gridCol w:w="1120"/>
        <w:gridCol w:w="939"/>
        <w:gridCol w:w="939"/>
        <w:gridCol w:w="939"/>
        <w:gridCol w:w="939"/>
      </w:tblGrid>
      <w:tr w:rsidR="00603F28">
        <w:trPr>
          <w:trHeight w:val="285"/>
          <w:tblHeader/>
        </w:trPr>
        <w:tc>
          <w:tcPr>
            <w:tcW w:w="1659"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院系名称</w:t>
            </w:r>
          </w:p>
        </w:tc>
        <w:tc>
          <w:tcPr>
            <w:tcW w:w="52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专业相关度</w:t>
            </w:r>
          </w:p>
        </w:tc>
        <w:tc>
          <w:tcPr>
            <w:tcW w:w="52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期待吻合度</w:t>
            </w:r>
          </w:p>
        </w:tc>
        <w:tc>
          <w:tcPr>
            <w:tcW w:w="526"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就业满意度</w:t>
            </w:r>
          </w:p>
        </w:tc>
        <w:tc>
          <w:tcPr>
            <w:tcW w:w="44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平均薪资</w:t>
            </w:r>
          </w:p>
        </w:tc>
        <w:tc>
          <w:tcPr>
            <w:tcW w:w="44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培训机会</w:t>
            </w:r>
          </w:p>
        </w:tc>
        <w:tc>
          <w:tcPr>
            <w:tcW w:w="44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晋升空间</w:t>
            </w:r>
          </w:p>
        </w:tc>
        <w:tc>
          <w:tcPr>
            <w:tcW w:w="441"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综合质量</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公共管理、社会保障和社会组织</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100.00</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电力、热力、燃气及水生产和供应业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96.61</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65.58</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82.46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57.90</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78.23</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50.41</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72.44</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科学研究和技术服务业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89.28</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72.25</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43.46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45.87</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34.81</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37.18</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54.56</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租赁和商务服务业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62.24</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57.35</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43.37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41.69</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50.95</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56.21</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52.34</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农、林、牧、渔业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61.40</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34.60</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57.59</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29.03</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77.44</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48.01</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51.91</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房地产业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49.02</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34.93</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44.56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56.77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46.78</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52.80</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47.28</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水利、环境和公共设施管理业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53.22</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51.35</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64.20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39.31</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28.20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20.25</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42.71</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45.52</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33.98</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35.86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44.76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48.74</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40.91</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41.76</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信息传输、软件和信息技术服务业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64.87</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38.59</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25.47</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56.40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33.20</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24.33</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40.84</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文化、体育和娱乐业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51.32</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56.61</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41.87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24.41</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29.87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35.90</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40.34</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居民服务、修理和其它服务业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40.62</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47.40</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32.43</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23.66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50.82</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40.02</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39.66</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制造业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59.50</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42.19</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25.95</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38.30</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31.05</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38.63</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39.66</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卫生和社会工作</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35.67</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45.83</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33.36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19.94</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57.38</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22.74</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36.50</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采矿业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9.94</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4.87</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57.59</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7.38</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62.39</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67.51</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34.49</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住宿和餐饮业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8.87</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20.72</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34.37</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25.82</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68.66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45.85</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34.05</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交通运输、仓储和邮政业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35.67</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47.68</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33.36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43.47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5.23</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20.72</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30.78</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教育</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19.89</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27.08</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23.99</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22.72</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46.78</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31.95</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28.94</w:t>
            </w:r>
          </w:p>
        </w:tc>
      </w:tr>
      <w:tr w:rsidR="00603F28">
        <w:trPr>
          <w:trHeight w:val="285"/>
        </w:trPr>
        <w:tc>
          <w:tcPr>
            <w:tcW w:w="1659"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建筑业</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65.52</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27.67</w:t>
            </w:r>
          </w:p>
        </w:tc>
        <w:tc>
          <w:tcPr>
            <w:tcW w:w="52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14.12</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36.57</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9.66</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7.22</w:t>
            </w:r>
          </w:p>
        </w:tc>
        <w:tc>
          <w:tcPr>
            <w:tcW w:w="441"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27.32</w:t>
            </w:r>
          </w:p>
        </w:tc>
      </w:tr>
      <w:tr w:rsidR="00603F28">
        <w:trPr>
          <w:trHeight w:val="285"/>
        </w:trPr>
        <w:tc>
          <w:tcPr>
            <w:tcW w:w="1659"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批发和零售业</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23.61</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10.81</w:t>
            </w:r>
          </w:p>
        </w:tc>
        <w:tc>
          <w:tcPr>
            <w:tcW w:w="52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15.94</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28.88</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26.66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24.46</w:t>
            </w:r>
          </w:p>
        </w:tc>
        <w:tc>
          <w:tcPr>
            <w:tcW w:w="441"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b/>
                <w:bCs/>
                <w:kern w:val="0"/>
                <w:sz w:val="18"/>
                <w:szCs w:val="18"/>
              </w:rPr>
            </w:pPr>
            <w:r>
              <w:rPr>
                <w:rFonts w:ascii="黑体" w:eastAsia="黑体" w:hAnsi="黑体" w:cs="宋体" w:hint="eastAsia"/>
                <w:b/>
                <w:bCs/>
                <w:kern w:val="0"/>
                <w:sz w:val="18"/>
                <w:szCs w:val="18"/>
              </w:rPr>
              <w:t>21.70</w:t>
            </w:r>
          </w:p>
        </w:tc>
      </w:tr>
    </w:tbl>
    <w:p w:rsidR="00603F28" w:rsidRDefault="00041260">
      <w:pPr>
        <w:widowControl/>
        <w:spacing w:line="240" w:lineRule="auto"/>
        <w:jc w:val="left"/>
        <w:rPr>
          <w:rFonts w:ascii="Songti SC" w:hAnsi="Songti SC"/>
          <w:b/>
          <w:bCs/>
          <w:kern w:val="44"/>
          <w:sz w:val="32"/>
          <w:szCs w:val="44"/>
        </w:rPr>
      </w:pPr>
      <w:r>
        <w:rPr>
          <w:rFonts w:ascii="Songti SC" w:hAnsi="Songti SC"/>
        </w:rPr>
        <w:br w:type="page"/>
      </w:r>
    </w:p>
    <w:p w:rsidR="00603F28" w:rsidRDefault="00041260">
      <w:pPr>
        <w:pStyle w:val="1"/>
        <w:rPr>
          <w:rFonts w:ascii="Songti SC" w:hAnsi="Songti SC"/>
        </w:rPr>
      </w:pPr>
      <w:bookmarkStart w:id="72" w:name="_Toc27642629"/>
      <w:r>
        <w:rPr>
          <w:rFonts w:ascii="Songti SC" w:hAnsi="Songti SC" w:hint="eastAsia"/>
        </w:rPr>
        <w:t>第四章</w:t>
      </w:r>
      <w:r>
        <w:rPr>
          <w:rFonts w:ascii="Songti SC" w:hAnsi="Songti SC"/>
        </w:rPr>
        <w:t xml:space="preserve"> </w:t>
      </w:r>
      <w:r>
        <w:rPr>
          <w:rFonts w:ascii="time" w:hAnsi="time" w:hint="eastAsia"/>
        </w:rPr>
        <w:t>2019</w:t>
      </w:r>
      <w:r>
        <w:rPr>
          <w:rFonts w:ascii="time" w:hAnsi="time" w:hint="eastAsia"/>
        </w:rPr>
        <w:t>届毕业生</w:t>
      </w:r>
      <w:r>
        <w:rPr>
          <w:rFonts w:ascii="Songti SC" w:hAnsi="Songti SC" w:hint="eastAsia"/>
        </w:rPr>
        <w:t>择业因素调研分析</w:t>
      </w:r>
      <w:bookmarkEnd w:id="72"/>
    </w:p>
    <w:p w:rsidR="00603F28" w:rsidRDefault="00041260">
      <w:pPr>
        <w:ind w:firstLine="482"/>
        <w:rPr>
          <w:rFonts w:cs="宋体"/>
        </w:rPr>
      </w:pPr>
      <w:r>
        <w:rPr>
          <w:rFonts w:cs="MS Mincho" w:hint="eastAsia"/>
        </w:rPr>
        <w:t>本部分数据来源于“云就业平台”的</w:t>
      </w:r>
      <w:r>
        <w:rPr>
          <w:rFonts w:cs="宋体" w:hint="eastAsia"/>
          <w:color w:val="000000"/>
        </w:rPr>
        <w:t>“江西财经大学</w:t>
      </w:r>
      <w:r>
        <w:rPr>
          <w:rFonts w:cs="宋体"/>
          <w:color w:val="000000"/>
        </w:rPr>
        <w:t>2019</w:t>
      </w:r>
      <w:r>
        <w:rPr>
          <w:rFonts w:cs="宋体"/>
          <w:color w:val="000000"/>
        </w:rPr>
        <w:t>届毕业生就业质量调研问卷</w:t>
      </w:r>
      <w:r>
        <w:rPr>
          <w:rFonts w:cs="宋体" w:hint="eastAsia"/>
          <w:color w:val="000000"/>
        </w:rPr>
        <w:t>”</w:t>
      </w:r>
      <w:r>
        <w:rPr>
          <w:rFonts w:cs="MS Mincho" w:hint="eastAsia"/>
        </w:rPr>
        <w:t>。</w:t>
      </w:r>
      <w:r>
        <w:rPr>
          <w:rFonts w:cs="MS Mincho" w:hint="eastAsia"/>
        </w:rPr>
        <w:t>2019</w:t>
      </w:r>
      <w:r>
        <w:rPr>
          <w:rFonts w:cs="MS Mincho" w:hint="eastAsia"/>
        </w:rPr>
        <w:t>届毕业生择业因素调研分析</w:t>
      </w:r>
      <w:r>
        <w:rPr>
          <w:rFonts w:cs="宋体" w:hint="eastAsia"/>
        </w:rPr>
        <w:t>主要从毕业生求职行为、毕业生升学和毕业生出国（境）情况、毕业生自主创业情况和毕业生留赣就业情况四个方面展开。</w:t>
      </w:r>
    </w:p>
    <w:p w:rsidR="00603F28" w:rsidRDefault="00041260">
      <w:pPr>
        <w:pStyle w:val="2"/>
      </w:pPr>
      <w:bookmarkStart w:id="73" w:name="_Toc27642630"/>
      <w:r>
        <w:rPr>
          <w:rFonts w:hint="eastAsia"/>
        </w:rPr>
        <w:t>一、求职行为分析</w:t>
      </w:r>
      <w:bookmarkEnd w:id="73"/>
    </w:p>
    <w:p w:rsidR="00603F28" w:rsidRDefault="00041260">
      <w:pPr>
        <w:ind w:firstLineChars="200" w:firstLine="420"/>
        <w:rPr>
          <w:rFonts w:ascii="宋体" w:hAnsi="宋体" w:cs="宋体"/>
        </w:rPr>
      </w:pPr>
      <w:r>
        <w:rPr>
          <w:rFonts w:ascii="宋体" w:hAnsi="宋体" w:cs="宋体" w:hint="eastAsia"/>
        </w:rPr>
        <w:t>毕业生求职行为分析主要从已就业毕业生求职行为、未就业毕业生求职行为、已就业和未就业毕业生求职行为对比三个方面展开。</w:t>
      </w:r>
    </w:p>
    <w:p w:rsidR="00603F28" w:rsidRDefault="00041260">
      <w:pPr>
        <w:pStyle w:val="3"/>
        <w:spacing w:before="120"/>
      </w:pPr>
      <w:bookmarkStart w:id="74" w:name="_Toc27642631"/>
      <w:r>
        <w:rPr>
          <w:rFonts w:hint="eastAsia"/>
        </w:rPr>
        <w:t>（一）已就业毕业生求职行为分析</w:t>
      </w:r>
      <w:bookmarkEnd w:id="74"/>
    </w:p>
    <w:p w:rsidR="00603F28" w:rsidRDefault="00041260">
      <w:pPr>
        <w:ind w:firstLineChars="200" w:firstLine="420"/>
        <w:rPr>
          <w:rFonts w:ascii="宋体" w:hAnsi="宋体" w:cs="宋体"/>
        </w:rPr>
      </w:pPr>
      <w:r>
        <w:rPr>
          <w:rFonts w:ascii="宋体" w:hAnsi="宋体" w:cs="宋体" w:hint="eastAsia"/>
        </w:rPr>
        <w:t>已就业毕业生求职行为分析主要从求职关注因素、求职成功因素、求职主要困难、求职途径、求职努力、</w:t>
      </w:r>
      <w:r>
        <w:rPr>
          <w:rFonts w:cs="宋体" w:hint="eastAsia"/>
        </w:rPr>
        <w:t>OFFER</w:t>
      </w:r>
      <w:r>
        <w:rPr>
          <w:rFonts w:cs="宋体" w:hint="eastAsia"/>
        </w:rPr>
        <w:t>获</w:t>
      </w:r>
      <w:r>
        <w:rPr>
          <w:rFonts w:ascii="宋体" w:hAnsi="宋体" w:cs="宋体" w:hint="eastAsia"/>
        </w:rPr>
        <w:t>得数量六个方面展开。</w:t>
      </w:r>
    </w:p>
    <w:p w:rsidR="00603F28" w:rsidRDefault="00041260">
      <w:pPr>
        <w:pStyle w:val="4"/>
      </w:pPr>
      <w:bookmarkStart w:id="75" w:name="_Toc22043067"/>
      <w:r>
        <w:rPr>
          <w:rFonts w:hint="eastAsia"/>
        </w:rPr>
        <w:t>1</w:t>
      </w:r>
      <w:r>
        <w:t>.</w:t>
      </w:r>
      <w:r>
        <w:rPr>
          <w:rFonts w:hint="eastAsia"/>
        </w:rPr>
        <w:t>求职关注因素</w:t>
      </w:r>
      <w:bookmarkEnd w:id="75"/>
    </w:p>
    <w:p w:rsidR="00603F28" w:rsidRDefault="00041260">
      <w:pPr>
        <w:ind w:firstLineChars="200" w:firstLine="420"/>
      </w:pPr>
      <w:r>
        <w:rPr>
          <w:rFonts w:cs="宋体" w:hint="eastAsia"/>
          <w:color w:val="000000" w:themeColor="text1"/>
        </w:rPr>
        <w:t>2</w:t>
      </w:r>
      <w:r>
        <w:rPr>
          <w:rFonts w:cs="宋体"/>
          <w:color w:val="000000" w:themeColor="text1"/>
        </w:rPr>
        <w:t>019</w:t>
      </w:r>
      <w:r>
        <w:rPr>
          <w:rFonts w:cs="宋体" w:hint="eastAsia"/>
          <w:color w:val="000000" w:themeColor="text1"/>
        </w:rPr>
        <w:t>届本科</w:t>
      </w:r>
      <w:r>
        <w:rPr>
          <w:rFonts w:hint="eastAsia"/>
        </w:rPr>
        <w:t>毕业生求职主要关注因素为“薪酬水平”</w:t>
      </w:r>
      <w:r>
        <w:rPr>
          <w:rFonts w:hint="eastAsia"/>
        </w:rPr>
        <w:t>(</w:t>
      </w:r>
      <w:r>
        <w:t>12.71%)</w:t>
      </w:r>
      <w:r>
        <w:t>，其次是</w:t>
      </w:r>
      <w:r>
        <w:rPr>
          <w:rFonts w:hint="eastAsia"/>
        </w:rPr>
        <w:t>“单位的发展空间”</w:t>
      </w:r>
      <w:r>
        <w:t>（</w:t>
      </w:r>
      <w:r>
        <w:rPr>
          <w:rFonts w:hint="eastAsia"/>
        </w:rPr>
        <w:t>12.03</w:t>
      </w:r>
      <w:r>
        <w:t>%</w:t>
      </w:r>
      <w:r>
        <w:t>）</w:t>
      </w:r>
      <w:r>
        <w:rPr>
          <w:rFonts w:hint="eastAsia"/>
        </w:rPr>
        <w:t>和“就业地理位置”</w:t>
      </w:r>
      <w:r>
        <w:t>（</w:t>
      </w:r>
      <w:r>
        <w:t>11.68%</w:t>
      </w:r>
      <w:r>
        <w:t>）。</w:t>
      </w:r>
    </w:p>
    <w:p w:rsidR="00603F28" w:rsidRDefault="00041260">
      <w:pPr>
        <w:keepNext/>
      </w:pPr>
      <w:r>
        <w:rPr>
          <w:noProof/>
        </w:rPr>
        <w:drawing>
          <wp:inline distT="0" distB="0" distL="0" distR="0">
            <wp:extent cx="5274310" cy="3063875"/>
            <wp:effectExtent l="0" t="0" r="2540" b="3175"/>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w:t>
      </w:r>
      <w:r>
        <w:fldChar w:fldCharType="end"/>
      </w:r>
      <w:r>
        <w:t xml:space="preserve">  2019</w:t>
      </w:r>
      <w:r>
        <w:rPr>
          <w:rFonts w:hint="eastAsia"/>
        </w:rPr>
        <w:t>届本科毕业生求职关注因素</w:t>
      </w:r>
    </w:p>
    <w:p w:rsidR="00603F28" w:rsidRDefault="00041260">
      <w:pPr>
        <w:pStyle w:val="4"/>
      </w:pPr>
      <w:r>
        <w:rPr>
          <w:rFonts w:hint="eastAsia"/>
        </w:rPr>
        <w:t>2</w:t>
      </w:r>
      <w:r>
        <w:t>.</w:t>
      </w:r>
      <w:r>
        <w:rPr>
          <w:rFonts w:hint="eastAsia"/>
        </w:rPr>
        <w:t>求职成功因素</w:t>
      </w:r>
    </w:p>
    <w:p w:rsidR="00603F28" w:rsidRDefault="00041260">
      <w:pPr>
        <w:ind w:firstLineChars="200" w:firstLine="420"/>
      </w:pPr>
      <w:r>
        <w:rPr>
          <w:rFonts w:cs="宋体" w:hint="eastAsia"/>
          <w:color w:val="000000" w:themeColor="text1"/>
        </w:rPr>
        <w:t>2</w:t>
      </w:r>
      <w:r>
        <w:rPr>
          <w:rFonts w:cs="宋体"/>
          <w:color w:val="000000" w:themeColor="text1"/>
        </w:rPr>
        <w:t>019</w:t>
      </w:r>
      <w:r>
        <w:rPr>
          <w:rFonts w:cs="宋体" w:hint="eastAsia"/>
          <w:color w:val="000000" w:themeColor="text1"/>
        </w:rPr>
        <w:t>届本科</w:t>
      </w:r>
      <w:r>
        <w:rPr>
          <w:rFonts w:hint="eastAsia"/>
        </w:rPr>
        <w:t>毕业生认为求职成功的主要因素是“学历”（</w:t>
      </w:r>
      <w:r>
        <w:t>19.85</w:t>
      </w:r>
      <w:r>
        <w:rPr>
          <w:rFonts w:hint="eastAsia"/>
        </w:rPr>
        <w:t>%</w:t>
      </w:r>
      <w:r>
        <w:rPr>
          <w:rFonts w:hint="eastAsia"/>
        </w:rPr>
        <w:t>），“个人素质”（</w:t>
      </w:r>
      <w:r>
        <w:rPr>
          <w:rFonts w:hint="eastAsia"/>
        </w:rPr>
        <w:t>1</w:t>
      </w:r>
      <w:r>
        <w:t>6.13</w:t>
      </w:r>
      <w:r>
        <w:rPr>
          <w:rFonts w:hint="eastAsia"/>
        </w:rPr>
        <w:t>%</w:t>
      </w:r>
      <w:r>
        <w:rPr>
          <w:rFonts w:hint="eastAsia"/>
        </w:rPr>
        <w:t>）和“母校声誉”（</w:t>
      </w:r>
      <w:r>
        <w:t>13.99</w:t>
      </w:r>
      <w:r>
        <w:rPr>
          <w:rFonts w:hint="eastAsia"/>
        </w:rPr>
        <w:t>%</w:t>
      </w:r>
      <w:r>
        <w:rPr>
          <w:rFonts w:hint="eastAsia"/>
        </w:rPr>
        <w:t>）。数据表明毕业生求职时对自身能力和素质的认可度较高，同时认为母校的培养对自身求职有较大帮助。</w:t>
      </w:r>
    </w:p>
    <w:p w:rsidR="00603F28" w:rsidRDefault="00041260">
      <w:pPr>
        <w:keepNext/>
      </w:pPr>
      <w:r>
        <w:rPr>
          <w:noProof/>
        </w:rPr>
        <w:drawing>
          <wp:inline distT="0" distB="0" distL="0" distR="0">
            <wp:extent cx="5274310" cy="3063875"/>
            <wp:effectExtent l="0" t="0" r="2540" b="3175"/>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w:t>
      </w:r>
      <w:r>
        <w:fldChar w:fldCharType="end"/>
      </w:r>
      <w:r>
        <w:t xml:space="preserve">  2019</w:t>
      </w:r>
      <w:r>
        <w:t>届本科毕业生</w:t>
      </w:r>
      <w:r>
        <w:rPr>
          <w:rFonts w:hint="eastAsia"/>
        </w:rPr>
        <w:t>求职成功因素</w:t>
      </w:r>
    </w:p>
    <w:p w:rsidR="00603F28" w:rsidRDefault="00041260">
      <w:pPr>
        <w:pStyle w:val="4"/>
      </w:pPr>
      <w:bookmarkStart w:id="76" w:name="_Toc32205_WPSOffice_Level3"/>
      <w:bookmarkStart w:id="77" w:name="_Toc534724611"/>
      <w:r>
        <w:rPr>
          <w:rFonts w:hint="eastAsia"/>
        </w:rPr>
        <w:t>3</w:t>
      </w:r>
      <w:r>
        <w:t>.</w:t>
      </w:r>
      <w:r>
        <w:t>求职困难</w:t>
      </w:r>
      <w:bookmarkEnd w:id="76"/>
      <w:r>
        <w:rPr>
          <w:rFonts w:hint="eastAsia"/>
        </w:rPr>
        <w:t>因素</w:t>
      </w:r>
      <w:bookmarkEnd w:id="77"/>
    </w:p>
    <w:p w:rsidR="00603F28" w:rsidRDefault="00041260">
      <w:pPr>
        <w:ind w:firstLineChars="200" w:firstLine="420"/>
      </w:pPr>
      <w:r>
        <w:rPr>
          <w:rFonts w:hint="eastAsia"/>
        </w:rPr>
        <w:t>2</w:t>
      </w:r>
      <w:r>
        <w:t>019</w:t>
      </w:r>
      <w:r>
        <w:rPr>
          <w:rFonts w:hint="eastAsia"/>
        </w:rPr>
        <w:t>届本科毕业生</w:t>
      </w:r>
      <w:r>
        <w:t>在</w:t>
      </w:r>
      <w:r>
        <w:rPr>
          <w:rFonts w:hint="eastAsia"/>
        </w:rPr>
        <w:t>求职</w:t>
      </w:r>
      <w:r>
        <w:t>中遇到的最大困难</w:t>
      </w:r>
      <w:r>
        <w:rPr>
          <w:rFonts w:hint="eastAsia"/>
        </w:rPr>
        <w:t>是“缺乏实践经验”</w:t>
      </w:r>
      <w:r>
        <w:t>（</w:t>
      </w:r>
      <w:r>
        <w:t>19.70%</w:t>
      </w:r>
      <w:r>
        <w:t>）</w:t>
      </w:r>
      <w:r>
        <w:rPr>
          <w:rFonts w:hint="eastAsia"/>
        </w:rPr>
        <w:t>，其次</w:t>
      </w:r>
      <w:r>
        <w:t>是</w:t>
      </w:r>
      <w:r>
        <w:rPr>
          <w:rFonts w:hint="eastAsia"/>
        </w:rPr>
        <w:t>“用人单位待遇</w:t>
      </w:r>
      <w:r>
        <w:t>和</w:t>
      </w:r>
      <w:r>
        <w:rPr>
          <w:rFonts w:hint="eastAsia"/>
        </w:rPr>
        <w:t>条件</w:t>
      </w:r>
      <w:r>
        <w:t>不符合</w:t>
      </w:r>
      <w:r>
        <w:rPr>
          <w:rFonts w:hint="eastAsia"/>
        </w:rPr>
        <w:t>预期”</w:t>
      </w:r>
      <w:r>
        <w:t>（</w:t>
      </w:r>
      <w:r>
        <w:t>19.44%</w:t>
      </w:r>
      <w:r>
        <w:t>）</w:t>
      </w:r>
      <w:r>
        <w:rPr>
          <w:rFonts w:hint="eastAsia"/>
        </w:rPr>
        <w:t>，“适合自己专业和学历的岗位不多”</w:t>
      </w:r>
      <w:r>
        <w:t>（</w:t>
      </w:r>
      <w:r>
        <w:t>16.15%</w:t>
      </w:r>
      <w:r>
        <w:t>）</w:t>
      </w:r>
      <w:r>
        <w:rPr>
          <w:rFonts w:hint="eastAsia"/>
        </w:rPr>
        <w:t>。</w:t>
      </w:r>
    </w:p>
    <w:p w:rsidR="00603F28" w:rsidRDefault="00041260">
      <w:pPr>
        <w:keepNext/>
      </w:pPr>
      <w:r>
        <w:rPr>
          <w:noProof/>
        </w:rPr>
        <w:drawing>
          <wp:inline distT="0" distB="0" distL="0" distR="0">
            <wp:extent cx="5274310" cy="3063875"/>
            <wp:effectExtent l="0" t="0" r="2540" b="3175"/>
            <wp:docPr id="3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3</w:t>
      </w:r>
      <w:r>
        <w:fldChar w:fldCharType="end"/>
      </w:r>
      <w:r>
        <w:t xml:space="preserve">  2019</w:t>
      </w:r>
      <w:r>
        <w:t>届本科毕业生求职困难因素</w:t>
      </w:r>
    </w:p>
    <w:p w:rsidR="00603F28" w:rsidRDefault="00041260">
      <w:pPr>
        <w:pStyle w:val="4"/>
      </w:pPr>
      <w:r>
        <w:rPr>
          <w:rFonts w:hint="eastAsia"/>
        </w:rPr>
        <w:t>4</w:t>
      </w:r>
      <w:r>
        <w:t>.</w:t>
      </w:r>
      <w:r>
        <w:rPr>
          <w:rFonts w:hint="eastAsia"/>
        </w:rPr>
        <w:t>求职途径</w:t>
      </w:r>
    </w:p>
    <w:p w:rsidR="00603F28" w:rsidRDefault="00041260">
      <w:pPr>
        <w:ind w:firstLine="480"/>
        <w:rPr>
          <w:rFonts w:cs="宋体"/>
        </w:rPr>
      </w:pPr>
      <w:bookmarkStart w:id="78" w:name="OLE_LINK4"/>
      <w:r>
        <w:rPr>
          <w:rFonts w:cs="宋体" w:hint="eastAsia"/>
        </w:rPr>
        <w:t>2</w:t>
      </w:r>
      <w:r>
        <w:rPr>
          <w:rFonts w:cs="宋体"/>
        </w:rPr>
        <w:t>019</w:t>
      </w:r>
      <w:r>
        <w:rPr>
          <w:rFonts w:cs="宋体" w:hint="eastAsia"/>
        </w:rPr>
        <w:t>届本科毕业生获得工作的主要途径是“母校推荐”（</w:t>
      </w:r>
      <w:r>
        <w:rPr>
          <w:rFonts w:cs="宋体"/>
        </w:rPr>
        <w:t>55.31</w:t>
      </w:r>
      <w:r>
        <w:rPr>
          <w:rFonts w:cs="宋体" w:hint="eastAsia"/>
        </w:rPr>
        <w:t>%</w:t>
      </w:r>
      <w:r>
        <w:rPr>
          <w:rFonts w:cs="宋体" w:hint="eastAsia"/>
        </w:rPr>
        <w:t>），其次是通过“自己直接联系应聘”（</w:t>
      </w:r>
      <w:r>
        <w:t>31.23%</w:t>
      </w:r>
      <w:r>
        <w:rPr>
          <w:rFonts w:cs="宋体" w:hint="eastAsia"/>
        </w:rPr>
        <w:t>）。</w:t>
      </w:r>
      <w:bookmarkEnd w:id="78"/>
    </w:p>
    <w:p w:rsidR="00603F28" w:rsidRDefault="00041260">
      <w:pPr>
        <w:keepNext/>
      </w:pPr>
      <w:r>
        <w:rPr>
          <w:noProof/>
        </w:rPr>
        <w:drawing>
          <wp:inline distT="0" distB="0" distL="0" distR="0">
            <wp:extent cx="5274310" cy="2743200"/>
            <wp:effectExtent l="0" t="0" r="2540" b="0"/>
            <wp:docPr id="3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4</w:t>
      </w:r>
      <w:r>
        <w:fldChar w:fldCharType="end"/>
      </w:r>
      <w:r>
        <w:t xml:space="preserve">  2019</w:t>
      </w:r>
      <w:r>
        <w:t>届本科毕业生求职途径</w:t>
      </w:r>
    </w:p>
    <w:p w:rsidR="00603F28" w:rsidRDefault="00041260">
      <w:pPr>
        <w:pStyle w:val="4"/>
      </w:pPr>
      <w:r>
        <w:rPr>
          <w:rFonts w:hint="eastAsia"/>
        </w:rPr>
        <w:t>5</w:t>
      </w:r>
      <w:r>
        <w:t>.</w:t>
      </w:r>
      <w:r>
        <w:rPr>
          <w:rFonts w:hint="eastAsia"/>
        </w:rPr>
        <w:t>求职努力</w:t>
      </w:r>
    </w:p>
    <w:p w:rsidR="00603F28" w:rsidRDefault="00041260">
      <w:pPr>
        <w:ind w:firstLine="480"/>
        <w:rPr>
          <w:rFonts w:cs="宋体"/>
        </w:rPr>
      </w:pPr>
      <w:r>
        <w:rPr>
          <w:rFonts w:cs="宋体" w:hint="eastAsia"/>
        </w:rPr>
        <w:t>2</w:t>
      </w:r>
      <w:r>
        <w:rPr>
          <w:rFonts w:cs="宋体"/>
        </w:rPr>
        <w:t>019</w:t>
      </w:r>
      <w:r>
        <w:rPr>
          <w:rFonts w:cs="宋体" w:hint="eastAsia"/>
        </w:rPr>
        <w:t>届本科毕业生中，</w:t>
      </w:r>
      <w:r>
        <w:rPr>
          <w:rFonts w:cs="宋体" w:hint="eastAsia"/>
        </w:rPr>
        <w:t>66.44%</w:t>
      </w:r>
      <w:r>
        <w:rPr>
          <w:rFonts w:cs="宋体" w:hint="eastAsia"/>
        </w:rPr>
        <w:t>的毕业生面试的企业数量在</w:t>
      </w:r>
      <w:r>
        <w:rPr>
          <w:rFonts w:cs="宋体" w:hint="eastAsia"/>
        </w:rPr>
        <w:t>6</w:t>
      </w:r>
      <w:r>
        <w:rPr>
          <w:rFonts w:cs="宋体" w:hint="eastAsia"/>
        </w:rPr>
        <w:t>家以内，毕业生能在较少的面试次数中获得心仪的工作。</w:t>
      </w:r>
    </w:p>
    <w:p w:rsidR="00603F28" w:rsidRDefault="00041260">
      <w:pPr>
        <w:keepNext/>
        <w:jc w:val="left"/>
      </w:pPr>
      <w:r>
        <w:rPr>
          <w:noProof/>
        </w:rPr>
        <w:drawing>
          <wp:inline distT="0" distB="0" distL="0" distR="0">
            <wp:extent cx="4943475" cy="2743200"/>
            <wp:effectExtent l="0" t="0" r="0" b="0"/>
            <wp:docPr id="42" name="图表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5</w:t>
      </w:r>
      <w:r>
        <w:fldChar w:fldCharType="end"/>
      </w:r>
      <w:r>
        <w:t xml:space="preserve">  2019</w:t>
      </w:r>
      <w:r>
        <w:t>届本科毕业生面试企业数量</w:t>
      </w:r>
    </w:p>
    <w:p w:rsidR="00603F28" w:rsidRDefault="00041260">
      <w:pPr>
        <w:ind w:firstLine="480"/>
        <w:rPr>
          <w:rFonts w:cs="宋体"/>
        </w:rPr>
      </w:pPr>
      <w:r>
        <w:rPr>
          <w:rFonts w:cs="宋体" w:hint="eastAsia"/>
        </w:rPr>
        <w:t>2</w:t>
      </w:r>
      <w:r>
        <w:rPr>
          <w:rFonts w:cs="宋体"/>
        </w:rPr>
        <w:t>019</w:t>
      </w:r>
      <w:r>
        <w:rPr>
          <w:rFonts w:cs="宋体" w:hint="eastAsia"/>
        </w:rPr>
        <w:t>届本科毕业生中，</w:t>
      </w:r>
      <w:r>
        <w:rPr>
          <w:rFonts w:cs="宋体"/>
        </w:rPr>
        <w:t>61.72</w:t>
      </w:r>
      <w:r>
        <w:rPr>
          <w:rFonts w:cs="宋体" w:hint="eastAsia"/>
        </w:rPr>
        <w:t>%</w:t>
      </w:r>
      <w:r>
        <w:rPr>
          <w:rFonts w:cs="宋体" w:hint="eastAsia"/>
        </w:rPr>
        <w:t>的毕业生求职成本在</w:t>
      </w:r>
      <w:r>
        <w:rPr>
          <w:rFonts w:cs="宋体" w:hint="eastAsia"/>
        </w:rPr>
        <w:t>1000</w:t>
      </w:r>
      <w:r>
        <w:rPr>
          <w:rFonts w:cs="宋体" w:hint="eastAsia"/>
        </w:rPr>
        <w:t>元以下，仅</w:t>
      </w:r>
      <w:r>
        <w:rPr>
          <w:rFonts w:cs="宋体" w:hint="eastAsia"/>
        </w:rPr>
        <w:t>2.66%</w:t>
      </w:r>
      <w:r>
        <w:rPr>
          <w:rFonts w:cs="宋体" w:hint="eastAsia"/>
        </w:rPr>
        <w:t>的毕业生求职花费在</w:t>
      </w:r>
      <w:r>
        <w:rPr>
          <w:rFonts w:cs="宋体" w:hint="eastAsia"/>
        </w:rPr>
        <w:t>10001</w:t>
      </w:r>
      <w:r>
        <w:rPr>
          <w:rFonts w:cs="宋体" w:hint="eastAsia"/>
        </w:rPr>
        <w:t>元以上。合理的规划求职花费能够更好掌控求职节奏，减小求职压力。</w:t>
      </w:r>
    </w:p>
    <w:p w:rsidR="00603F28" w:rsidRDefault="00041260">
      <w:pPr>
        <w:keepNext/>
      </w:pPr>
      <w:r>
        <w:rPr>
          <w:noProof/>
        </w:rPr>
        <w:drawing>
          <wp:inline distT="0" distB="0" distL="0" distR="0">
            <wp:extent cx="5274310" cy="3063875"/>
            <wp:effectExtent l="0" t="0" r="2540" b="3175"/>
            <wp:docPr id="41" name="图表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6</w:t>
      </w:r>
      <w:r>
        <w:fldChar w:fldCharType="end"/>
      </w:r>
      <w:r>
        <w:t xml:space="preserve">  2019</w:t>
      </w:r>
      <w:r>
        <w:t>届本科毕业生求职成本</w:t>
      </w:r>
    </w:p>
    <w:p w:rsidR="00603F28" w:rsidRDefault="00041260">
      <w:pPr>
        <w:pStyle w:val="4"/>
      </w:pPr>
      <w:r>
        <w:t>6.</w:t>
      </w:r>
      <w:r>
        <w:rPr>
          <w:rFonts w:hint="eastAsia"/>
        </w:rPr>
        <w:t>O</w:t>
      </w:r>
      <w:r>
        <w:t>FFER</w:t>
      </w:r>
      <w:r>
        <w:rPr>
          <w:rFonts w:hint="eastAsia"/>
        </w:rPr>
        <w:t>获得数量</w:t>
      </w:r>
    </w:p>
    <w:p w:rsidR="00603F28" w:rsidRDefault="00041260">
      <w:pPr>
        <w:ind w:firstLineChars="200" w:firstLine="420"/>
      </w:pPr>
      <w:r>
        <w:rPr>
          <w:rFonts w:hint="eastAsia"/>
        </w:rPr>
        <w:t>2019</w:t>
      </w:r>
      <w:r>
        <w:rPr>
          <w:rFonts w:hint="eastAsia"/>
        </w:rPr>
        <w:t>届本科毕业生中，</w:t>
      </w:r>
      <w:r>
        <w:rPr>
          <w:rFonts w:hint="eastAsia"/>
        </w:rPr>
        <w:t>84.43%</w:t>
      </w:r>
      <w:r>
        <w:rPr>
          <w:rFonts w:hint="eastAsia"/>
        </w:rPr>
        <w:t>的毕业生获得的</w:t>
      </w:r>
      <w:r>
        <w:rPr>
          <w:rFonts w:hint="eastAsia"/>
        </w:rPr>
        <w:t>OFFER</w:t>
      </w:r>
      <w:r>
        <w:rPr>
          <w:rFonts w:hint="eastAsia"/>
        </w:rPr>
        <w:t>数量在</w:t>
      </w:r>
      <w:r>
        <w:rPr>
          <w:rFonts w:hint="eastAsia"/>
        </w:rPr>
        <w:t>2</w:t>
      </w:r>
      <w:r>
        <w:rPr>
          <w:rFonts w:hint="eastAsia"/>
        </w:rPr>
        <w:t>份及以上，大多数毕业生在求职就业过程中充分掌握了主动性。</w:t>
      </w:r>
    </w:p>
    <w:p w:rsidR="00603F28" w:rsidRDefault="00041260">
      <w:pPr>
        <w:keepNext/>
        <w:jc w:val="center"/>
      </w:pPr>
      <w:r>
        <w:rPr>
          <w:noProof/>
        </w:rPr>
        <w:drawing>
          <wp:inline distT="0" distB="0" distL="0" distR="0">
            <wp:extent cx="4848225" cy="3000375"/>
            <wp:effectExtent l="0" t="0" r="0" b="0"/>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7</w:t>
      </w:r>
      <w:r>
        <w:fldChar w:fldCharType="end"/>
      </w:r>
      <w:r>
        <w:t xml:space="preserve">  2019</w:t>
      </w:r>
      <w:r>
        <w:rPr>
          <w:rFonts w:hint="eastAsia"/>
        </w:rPr>
        <w:t>届本科毕业生</w:t>
      </w:r>
      <w:r>
        <w:rPr>
          <w:rFonts w:hint="eastAsia"/>
        </w:rPr>
        <w:t>OFFER</w:t>
      </w:r>
      <w:r>
        <w:rPr>
          <w:rFonts w:hint="eastAsia"/>
        </w:rPr>
        <w:t>获得数量</w:t>
      </w:r>
    </w:p>
    <w:p w:rsidR="00603F28" w:rsidRDefault="00041260">
      <w:pPr>
        <w:ind w:firstLineChars="200" w:firstLine="420"/>
      </w:pPr>
      <w:r>
        <w:rPr>
          <w:rFonts w:hint="eastAsia"/>
        </w:rPr>
        <w:t>从不同求职途径来看，除“其他”途径外，通过母校推荐（</w:t>
      </w:r>
      <w:r>
        <w:rPr>
          <w:rFonts w:hint="eastAsia"/>
        </w:rPr>
        <w:t>22.90%</w:t>
      </w:r>
      <w:r>
        <w:rPr>
          <w:rFonts w:hint="eastAsia"/>
        </w:rPr>
        <w:t>）、自己直接联系应聘（</w:t>
      </w:r>
      <w:r>
        <w:rPr>
          <w:rFonts w:hint="eastAsia"/>
        </w:rPr>
        <w:t>31.37%</w:t>
      </w:r>
      <w:r>
        <w:rPr>
          <w:rFonts w:hint="eastAsia"/>
        </w:rPr>
        <w:t>）和社会中介推荐（</w:t>
      </w:r>
      <w:r>
        <w:rPr>
          <w:rFonts w:hint="eastAsia"/>
        </w:rPr>
        <w:t>28.22%</w:t>
      </w:r>
      <w:r>
        <w:rPr>
          <w:rFonts w:hint="eastAsia"/>
        </w:rPr>
        <w:t>）途径都有较大比例获得</w:t>
      </w:r>
      <w:r>
        <w:rPr>
          <w:rFonts w:hint="eastAsia"/>
        </w:rPr>
        <w:t>5</w:t>
      </w:r>
      <w:r>
        <w:rPr>
          <w:rFonts w:hint="eastAsia"/>
        </w:rPr>
        <w:t>份以上的</w:t>
      </w:r>
      <w:r>
        <w:rPr>
          <w:rFonts w:hint="eastAsia"/>
        </w:rPr>
        <w:t>OFFER</w:t>
      </w:r>
      <w:r>
        <w:rPr>
          <w:rFonts w:hint="eastAsia"/>
        </w:rPr>
        <w:t>。</w:t>
      </w:r>
    </w:p>
    <w:p w:rsidR="00603F28" w:rsidRDefault="00041260">
      <w:pPr>
        <w:keepNext/>
      </w:pPr>
      <w:r>
        <w:rPr>
          <w:noProof/>
        </w:rPr>
        <w:drawing>
          <wp:inline distT="0" distB="0" distL="0" distR="0">
            <wp:extent cx="5274310" cy="2561590"/>
            <wp:effectExtent l="0" t="0" r="254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8</w:t>
      </w:r>
      <w:r>
        <w:fldChar w:fldCharType="end"/>
      </w:r>
      <w:r>
        <w:t xml:space="preserve">  2019</w:t>
      </w:r>
      <w:r>
        <w:rPr>
          <w:rFonts w:hint="eastAsia"/>
        </w:rPr>
        <w:t>届本科毕业生通过不同途径的</w:t>
      </w:r>
      <w:r>
        <w:rPr>
          <w:rFonts w:hint="eastAsia"/>
        </w:rPr>
        <w:t>OFFER</w:t>
      </w:r>
      <w:r>
        <w:rPr>
          <w:rFonts w:hint="eastAsia"/>
        </w:rPr>
        <w:t>获得数量</w:t>
      </w:r>
    </w:p>
    <w:p w:rsidR="00603F28" w:rsidRDefault="00041260">
      <w:pPr>
        <w:pStyle w:val="3"/>
        <w:spacing w:before="120"/>
      </w:pPr>
      <w:bookmarkStart w:id="79" w:name="_Toc27642632"/>
      <w:r>
        <w:rPr>
          <w:rFonts w:hint="eastAsia"/>
        </w:rPr>
        <w:t>（二）未就业毕业生求职行为分析</w:t>
      </w:r>
      <w:bookmarkEnd w:id="79"/>
    </w:p>
    <w:p w:rsidR="00603F28" w:rsidRDefault="00041260">
      <w:pPr>
        <w:ind w:firstLineChars="200" w:firstLine="420"/>
        <w:rPr>
          <w:rFonts w:ascii="宋体" w:hAnsi="宋体" w:cs="宋体"/>
        </w:rPr>
      </w:pPr>
      <w:r>
        <w:rPr>
          <w:rFonts w:ascii="宋体" w:hAnsi="宋体" w:cs="宋体" w:hint="eastAsia"/>
        </w:rPr>
        <w:t>未就业毕业生求职行为分析主要从未就业原因、择业定位、期望薪资、就业地域关注因素、求职诉求五方面展开。</w:t>
      </w:r>
    </w:p>
    <w:p w:rsidR="00603F28" w:rsidRDefault="00041260">
      <w:pPr>
        <w:pStyle w:val="4"/>
      </w:pPr>
      <w:r>
        <w:rPr>
          <w:rFonts w:hint="eastAsia"/>
        </w:rPr>
        <w:t>1.</w:t>
      </w:r>
      <w:r>
        <w:rPr>
          <w:rFonts w:hint="eastAsia"/>
        </w:rPr>
        <w:t>未就业原因</w:t>
      </w:r>
    </w:p>
    <w:p w:rsidR="00603F28" w:rsidRDefault="00041260">
      <w:pPr>
        <w:ind w:firstLineChars="200" w:firstLine="420"/>
        <w:rPr>
          <w:rFonts w:cs="宋体"/>
        </w:rPr>
      </w:pPr>
      <w:r>
        <w:rPr>
          <w:rFonts w:cs="Times New Roman"/>
        </w:rPr>
        <w:t>2019</w:t>
      </w:r>
      <w:r>
        <w:rPr>
          <w:rFonts w:cs="宋体" w:hint="eastAsia"/>
        </w:rPr>
        <w:t>届未就业本科毕业生未就业原因主要是“准备公务员、事业单位招考”（</w:t>
      </w:r>
      <w:r>
        <w:rPr>
          <w:rFonts w:cs="宋体"/>
        </w:rPr>
        <w:t>31.</w:t>
      </w:r>
      <w:r>
        <w:rPr>
          <w:rFonts w:cs="宋体"/>
        </w:rPr>
        <w:t>89</w:t>
      </w:r>
      <w:r>
        <w:rPr>
          <w:rFonts w:cs="宋体" w:hint="eastAsia"/>
        </w:rPr>
        <w:t>%</w:t>
      </w:r>
      <w:r>
        <w:rPr>
          <w:rFonts w:cs="宋体" w:hint="eastAsia"/>
        </w:rPr>
        <w:t>）、“暂不就业拟继续复习考研”（</w:t>
      </w:r>
      <w:r>
        <w:rPr>
          <w:rFonts w:cs="宋体" w:hint="eastAsia"/>
        </w:rPr>
        <w:t>24.</w:t>
      </w:r>
      <w:r>
        <w:rPr>
          <w:rFonts w:cs="宋体"/>
        </w:rPr>
        <w:t>86</w:t>
      </w:r>
      <w:r>
        <w:rPr>
          <w:rFonts w:cs="宋体" w:hint="eastAsia"/>
        </w:rPr>
        <w:t>%</w:t>
      </w:r>
      <w:r>
        <w:rPr>
          <w:rFonts w:cs="宋体" w:hint="eastAsia"/>
        </w:rPr>
        <w:t>）和“正在择业尚未落实就业单位”（</w:t>
      </w:r>
      <w:r>
        <w:rPr>
          <w:rFonts w:cs="宋体" w:hint="eastAsia"/>
        </w:rPr>
        <w:t>22.16%</w:t>
      </w:r>
      <w:r>
        <w:rPr>
          <w:rFonts w:cs="宋体" w:hint="eastAsia"/>
        </w:rPr>
        <w:t>）。</w:t>
      </w:r>
    </w:p>
    <w:p w:rsidR="00603F28" w:rsidRDefault="00041260">
      <w:pPr>
        <w:keepNext/>
      </w:pPr>
      <w:r>
        <w:rPr>
          <w:noProof/>
        </w:rPr>
        <w:drawing>
          <wp:inline distT="0" distB="0" distL="0" distR="0">
            <wp:extent cx="5274310" cy="2832100"/>
            <wp:effectExtent l="0" t="0" r="2540" b="635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9</w:t>
      </w:r>
      <w:r>
        <w:fldChar w:fldCharType="end"/>
      </w:r>
      <w:r>
        <w:t xml:space="preserve">  2019</w:t>
      </w:r>
      <w:r>
        <w:rPr>
          <w:rFonts w:hint="eastAsia"/>
        </w:rPr>
        <w:t>届未就业本科毕业生未就业原因</w:t>
      </w:r>
    </w:p>
    <w:p w:rsidR="00603F28" w:rsidRDefault="00041260">
      <w:pPr>
        <w:pStyle w:val="4"/>
      </w:pPr>
      <w:r>
        <w:rPr>
          <w:rFonts w:hint="eastAsia"/>
        </w:rPr>
        <w:t>2.</w:t>
      </w:r>
      <w:r>
        <w:rPr>
          <w:rFonts w:hint="eastAsia"/>
        </w:rPr>
        <w:t>择业定位</w:t>
      </w:r>
    </w:p>
    <w:p w:rsidR="00603F28" w:rsidRDefault="00041260">
      <w:pPr>
        <w:ind w:firstLineChars="200" w:firstLine="420"/>
      </w:pPr>
      <w:r>
        <w:rPr>
          <w:rFonts w:hint="eastAsia"/>
        </w:rPr>
        <w:t>2019</w:t>
      </w:r>
      <w:r>
        <w:rPr>
          <w:rFonts w:hint="eastAsia"/>
        </w:rPr>
        <w:t>届未就业本科毕业生中，择业定位主要为其他事业单位（</w:t>
      </w:r>
      <w:r>
        <w:rPr>
          <w:rFonts w:hint="eastAsia"/>
        </w:rPr>
        <w:t>31.82%</w:t>
      </w:r>
      <w:r>
        <w:rPr>
          <w:rFonts w:hint="eastAsia"/>
        </w:rPr>
        <w:t>）和国有企业（</w:t>
      </w:r>
      <w:r>
        <w:t>27.27</w:t>
      </w:r>
      <w:r>
        <w:rPr>
          <w:rFonts w:hint="eastAsia"/>
        </w:rPr>
        <w:t>%</w:t>
      </w:r>
      <w:r>
        <w:rPr>
          <w:rFonts w:hint="eastAsia"/>
        </w:rPr>
        <w:t>）。</w:t>
      </w:r>
    </w:p>
    <w:p w:rsidR="00603F28" w:rsidRDefault="00041260">
      <w:pPr>
        <w:keepNext/>
      </w:pPr>
      <w:r>
        <w:rPr>
          <w:noProof/>
        </w:rPr>
        <w:drawing>
          <wp:inline distT="0" distB="0" distL="0" distR="0">
            <wp:extent cx="5274310" cy="2746375"/>
            <wp:effectExtent l="0" t="0" r="254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10</w:t>
      </w:r>
      <w:r>
        <w:fldChar w:fldCharType="end"/>
      </w:r>
      <w:r>
        <w:t xml:space="preserve">  2019</w:t>
      </w:r>
      <w:r>
        <w:rPr>
          <w:rFonts w:hint="eastAsia"/>
        </w:rPr>
        <w:t>届未就业本科毕业生择业定位</w:t>
      </w:r>
    </w:p>
    <w:p w:rsidR="00603F28" w:rsidRDefault="00041260">
      <w:pPr>
        <w:pStyle w:val="4"/>
      </w:pPr>
      <w:r>
        <w:t>3</w:t>
      </w:r>
      <w:r>
        <w:rPr>
          <w:rFonts w:hint="eastAsia"/>
        </w:rPr>
        <w:t>.</w:t>
      </w:r>
      <w:r>
        <w:rPr>
          <w:rFonts w:hint="eastAsia"/>
        </w:rPr>
        <w:t>期望薪资</w:t>
      </w:r>
    </w:p>
    <w:p w:rsidR="00603F28" w:rsidRDefault="00041260">
      <w:pPr>
        <w:ind w:firstLineChars="200" w:firstLine="420"/>
        <w:rPr>
          <w:rFonts w:cs="宋体"/>
        </w:rPr>
      </w:pPr>
      <w:r>
        <w:rPr>
          <w:rFonts w:cs="宋体" w:hint="eastAsia"/>
        </w:rPr>
        <w:t>2019</w:t>
      </w:r>
      <w:r>
        <w:rPr>
          <w:rFonts w:cs="宋体" w:hint="eastAsia"/>
        </w:rPr>
        <w:t>届未就业毕业生期望的薪资区间主要在</w:t>
      </w:r>
      <w:r>
        <w:rPr>
          <w:rFonts w:cs="宋体"/>
        </w:rPr>
        <w:t>4</w:t>
      </w:r>
      <w:r>
        <w:rPr>
          <w:rFonts w:cs="宋体" w:hint="eastAsia"/>
        </w:rPr>
        <w:t>001-</w:t>
      </w:r>
      <w:r>
        <w:rPr>
          <w:rFonts w:cs="宋体"/>
        </w:rPr>
        <w:t>7000</w:t>
      </w:r>
      <w:r>
        <w:rPr>
          <w:rFonts w:cs="宋体" w:hint="eastAsia"/>
        </w:rPr>
        <w:t>元（</w:t>
      </w:r>
      <w:r>
        <w:rPr>
          <w:rFonts w:cs="宋体"/>
        </w:rPr>
        <w:t>68.19</w:t>
      </w:r>
      <w:r>
        <w:rPr>
          <w:rFonts w:cs="宋体" w:hint="eastAsia"/>
        </w:rPr>
        <w:t>%</w:t>
      </w:r>
      <w:r>
        <w:rPr>
          <w:rFonts w:cs="宋体" w:hint="eastAsia"/>
        </w:rPr>
        <w:t>）。</w:t>
      </w:r>
    </w:p>
    <w:p w:rsidR="00603F28" w:rsidRDefault="00041260">
      <w:pPr>
        <w:keepNext/>
      </w:pPr>
      <w:r>
        <w:rPr>
          <w:noProof/>
        </w:rPr>
        <w:drawing>
          <wp:inline distT="0" distB="0" distL="0" distR="0">
            <wp:extent cx="5274310" cy="2832100"/>
            <wp:effectExtent l="0" t="0" r="2540" b="6350"/>
            <wp:docPr id="60" name="图表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11</w:t>
      </w:r>
      <w:r>
        <w:fldChar w:fldCharType="end"/>
      </w:r>
      <w:r>
        <w:t xml:space="preserve">  2019</w:t>
      </w:r>
      <w:r>
        <w:t>届未就业本科毕业生期望薪资</w:t>
      </w:r>
    </w:p>
    <w:p w:rsidR="00603F28" w:rsidRDefault="00041260">
      <w:pPr>
        <w:pStyle w:val="4"/>
      </w:pPr>
      <w:r>
        <w:t>4</w:t>
      </w:r>
      <w:r>
        <w:rPr>
          <w:rFonts w:hint="eastAsia"/>
        </w:rPr>
        <w:t>.</w:t>
      </w:r>
      <w:r>
        <w:rPr>
          <w:rFonts w:hint="eastAsia"/>
        </w:rPr>
        <w:t>就业地域关注因素</w:t>
      </w:r>
    </w:p>
    <w:p w:rsidR="00603F28" w:rsidRDefault="00041260">
      <w:pPr>
        <w:ind w:firstLineChars="200" w:firstLine="420"/>
        <w:rPr>
          <w:rFonts w:ascii="time" w:hAnsi="time" w:cs="宋体" w:hint="eastAsia"/>
        </w:rPr>
      </w:pPr>
      <w:r>
        <w:rPr>
          <w:rFonts w:ascii="time" w:hAnsi="time" w:cs="宋体" w:hint="eastAsia"/>
        </w:rPr>
        <w:t>2019</w:t>
      </w:r>
      <w:r>
        <w:rPr>
          <w:rFonts w:ascii="time" w:hAnsi="time" w:cs="宋体" w:hint="eastAsia"/>
        </w:rPr>
        <w:t>届未就业毕业生考虑就业地域时关注的主要因素是“到一线城市可能机会更多”（</w:t>
      </w:r>
      <w:r>
        <w:rPr>
          <w:rFonts w:ascii="time" w:hAnsi="time" w:cs="宋体" w:hint="eastAsia"/>
        </w:rPr>
        <w:t>54.55%</w:t>
      </w:r>
      <w:r>
        <w:rPr>
          <w:rFonts w:ascii="time" w:hAnsi="time" w:cs="宋体" w:hint="eastAsia"/>
        </w:rPr>
        <w:t>）。</w:t>
      </w:r>
    </w:p>
    <w:p w:rsidR="00603F28" w:rsidRDefault="00041260">
      <w:pPr>
        <w:keepNext/>
      </w:pPr>
      <w:r>
        <w:rPr>
          <w:noProof/>
        </w:rPr>
        <w:drawing>
          <wp:inline distT="0" distB="0" distL="0" distR="0">
            <wp:extent cx="5274310" cy="2702560"/>
            <wp:effectExtent l="0" t="0" r="2540" b="2540"/>
            <wp:docPr id="53"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12</w:t>
      </w:r>
      <w:r>
        <w:fldChar w:fldCharType="end"/>
      </w:r>
      <w:r>
        <w:t xml:space="preserve">  2019</w:t>
      </w:r>
      <w:r>
        <w:t>届</w:t>
      </w:r>
      <w:r>
        <w:rPr>
          <w:rFonts w:hint="eastAsia"/>
        </w:rPr>
        <w:t>未就业</w:t>
      </w:r>
      <w:r>
        <w:t>本科毕业生</w:t>
      </w:r>
      <w:r>
        <w:rPr>
          <w:rFonts w:hint="eastAsia"/>
        </w:rPr>
        <w:t>关注就业地域</w:t>
      </w:r>
    </w:p>
    <w:p w:rsidR="00603F28" w:rsidRDefault="00041260">
      <w:pPr>
        <w:pStyle w:val="4"/>
      </w:pPr>
      <w:r>
        <w:t>5</w:t>
      </w:r>
      <w:r>
        <w:rPr>
          <w:rFonts w:hint="eastAsia"/>
        </w:rPr>
        <w:t>.</w:t>
      </w:r>
      <w:r>
        <w:rPr>
          <w:rFonts w:hint="eastAsia"/>
        </w:rPr>
        <w:t>求职诉求</w:t>
      </w:r>
    </w:p>
    <w:p w:rsidR="00603F28" w:rsidRDefault="00041260">
      <w:pPr>
        <w:ind w:firstLineChars="200" w:firstLine="420"/>
        <w:rPr>
          <w:rFonts w:ascii="宋体" w:hAnsi="宋体" w:cs="宋体"/>
        </w:rPr>
      </w:pPr>
      <w:r>
        <w:rPr>
          <w:rFonts w:ascii="宋体" w:hAnsi="宋体" w:cs="宋体" w:hint="eastAsia"/>
        </w:rPr>
        <w:t>2019</w:t>
      </w:r>
      <w:r>
        <w:rPr>
          <w:rFonts w:ascii="宋体" w:hAnsi="宋体" w:cs="宋体" w:hint="eastAsia"/>
        </w:rPr>
        <w:t>届未就业本科毕业生期望从母校得到的帮助与指导主要有“增加职位信息”（</w:t>
      </w:r>
      <w:r>
        <w:rPr>
          <w:rFonts w:ascii="宋体" w:hAnsi="宋体" w:cs="宋体" w:hint="eastAsia"/>
        </w:rPr>
        <w:t>25.60%</w:t>
      </w:r>
      <w:r>
        <w:rPr>
          <w:rFonts w:ascii="宋体" w:hAnsi="宋体" w:cs="宋体" w:hint="eastAsia"/>
        </w:rPr>
        <w:t>）、“求职技巧培训”（</w:t>
      </w:r>
      <w:r>
        <w:rPr>
          <w:rFonts w:ascii="宋体" w:hAnsi="宋体" w:cs="宋体" w:hint="eastAsia"/>
        </w:rPr>
        <w:t>24.80%</w:t>
      </w:r>
      <w:r>
        <w:rPr>
          <w:rFonts w:ascii="宋体" w:hAnsi="宋体" w:cs="宋体" w:hint="eastAsia"/>
        </w:rPr>
        <w:t>）和“求职心理辅导”（</w:t>
      </w:r>
      <w:r>
        <w:rPr>
          <w:rFonts w:ascii="宋体" w:hAnsi="宋体" w:cs="宋体" w:hint="eastAsia"/>
        </w:rPr>
        <w:t>22.40%</w:t>
      </w:r>
      <w:r>
        <w:rPr>
          <w:rFonts w:ascii="宋体" w:hAnsi="宋体" w:cs="宋体" w:hint="eastAsia"/>
        </w:rPr>
        <w:t>）。</w:t>
      </w:r>
    </w:p>
    <w:p w:rsidR="00603F28" w:rsidRDefault="00041260">
      <w:pPr>
        <w:keepNext/>
      </w:pPr>
      <w:r>
        <w:rPr>
          <w:noProof/>
        </w:rPr>
        <w:drawing>
          <wp:inline distT="0" distB="0" distL="0" distR="0">
            <wp:extent cx="5274310" cy="2746375"/>
            <wp:effectExtent l="0" t="0" r="2540" b="0"/>
            <wp:docPr id="58"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13</w:t>
      </w:r>
      <w:r>
        <w:fldChar w:fldCharType="end"/>
      </w:r>
      <w:r>
        <w:t xml:space="preserve">  2019</w:t>
      </w:r>
      <w:r>
        <w:t>届未就业本科毕业生</w:t>
      </w:r>
      <w:r>
        <w:rPr>
          <w:rFonts w:hint="eastAsia"/>
        </w:rPr>
        <w:t>期望的帮助与指导</w:t>
      </w:r>
    </w:p>
    <w:p w:rsidR="00603F28" w:rsidRDefault="00041260">
      <w:pPr>
        <w:pStyle w:val="3"/>
        <w:spacing w:before="120"/>
      </w:pPr>
      <w:bookmarkStart w:id="80" w:name="_Toc27642633"/>
      <w:r>
        <w:rPr>
          <w:rFonts w:hint="eastAsia"/>
        </w:rPr>
        <w:t>（三）已就业和未就业毕业生求职行为对比分析</w:t>
      </w:r>
      <w:bookmarkEnd w:id="80"/>
    </w:p>
    <w:p w:rsidR="00603F28" w:rsidRDefault="00041260">
      <w:pPr>
        <w:ind w:firstLineChars="200" w:firstLine="420"/>
        <w:rPr>
          <w:rFonts w:ascii="宋体" w:hAnsi="宋体" w:cs="宋体"/>
        </w:rPr>
      </w:pPr>
      <w:r>
        <w:rPr>
          <w:rFonts w:ascii="宋体" w:hAnsi="宋体" w:cs="宋体" w:hint="eastAsia"/>
        </w:rPr>
        <w:t>已就业和未就业毕业生求职行为对比分析主要从求职关注因素、求职困难因素、期望薪资三方面展开。</w:t>
      </w:r>
    </w:p>
    <w:p w:rsidR="00603F28" w:rsidRDefault="00041260">
      <w:pPr>
        <w:pStyle w:val="4"/>
      </w:pPr>
      <w:r>
        <w:t>1</w:t>
      </w:r>
      <w:r>
        <w:rPr>
          <w:rFonts w:hint="eastAsia"/>
        </w:rPr>
        <w:t>.</w:t>
      </w:r>
      <w:r>
        <w:rPr>
          <w:rFonts w:hint="eastAsia"/>
        </w:rPr>
        <w:t>求职关注因素</w:t>
      </w:r>
    </w:p>
    <w:p w:rsidR="00603F28" w:rsidRDefault="00041260">
      <w:pPr>
        <w:ind w:firstLineChars="200" w:firstLine="420"/>
      </w:pPr>
      <w:r>
        <w:rPr>
          <w:rFonts w:hint="eastAsia"/>
        </w:rPr>
        <w:t>2019</w:t>
      </w:r>
      <w:r>
        <w:rPr>
          <w:rFonts w:hint="eastAsia"/>
        </w:rPr>
        <w:t>届本科已就业和未就业毕业生求职关注因素一定程度上存在差异。在薪酬水平方面，未就业毕业生关注比例（</w:t>
      </w:r>
      <w:r>
        <w:t>28.40%</w:t>
      </w:r>
      <w:r>
        <w:rPr>
          <w:rFonts w:hint="eastAsia"/>
        </w:rPr>
        <w:t>）显著高于已就业毕业生（</w:t>
      </w:r>
      <w:r>
        <w:t>12.71%</w:t>
      </w:r>
      <w:r>
        <w:rPr>
          <w:rFonts w:hint="eastAsia"/>
        </w:rPr>
        <w:t>）；而已就业毕业生对单位本身发展情况（单位社会声望（</w:t>
      </w:r>
      <w:r>
        <w:rPr>
          <w:rFonts w:hint="eastAsia"/>
        </w:rPr>
        <w:t>10.65%</w:t>
      </w:r>
      <w:r>
        <w:rPr>
          <w:rFonts w:hint="eastAsia"/>
        </w:rPr>
        <w:t>）、单位培训（</w:t>
      </w:r>
      <w:r>
        <w:rPr>
          <w:rFonts w:hint="eastAsia"/>
        </w:rPr>
        <w:t>9.97%</w:t>
      </w:r>
      <w:r>
        <w:rPr>
          <w:rFonts w:hint="eastAsia"/>
        </w:rPr>
        <w:t>））的关注比例高于未就业毕业生（单位社会声望（</w:t>
      </w:r>
      <w:r>
        <w:t>2.47</w:t>
      </w:r>
      <w:r>
        <w:rPr>
          <w:rFonts w:hint="eastAsia"/>
        </w:rPr>
        <w:t>%</w:t>
      </w:r>
      <w:r>
        <w:rPr>
          <w:rFonts w:hint="eastAsia"/>
        </w:rPr>
        <w:t>）、单位培训（</w:t>
      </w:r>
      <w:r>
        <w:t>3.70</w:t>
      </w:r>
      <w:r>
        <w:rPr>
          <w:rFonts w:hint="eastAsia"/>
        </w:rPr>
        <w:t>%</w:t>
      </w:r>
      <w:r>
        <w:rPr>
          <w:rFonts w:hint="eastAsia"/>
        </w:rPr>
        <w:t>））。</w:t>
      </w:r>
    </w:p>
    <w:p w:rsidR="00603F28" w:rsidRDefault="00041260">
      <w:pPr>
        <w:keepNext/>
      </w:pPr>
      <w:r>
        <w:rPr>
          <w:noProof/>
        </w:rPr>
        <w:drawing>
          <wp:inline distT="0" distB="0" distL="0" distR="0">
            <wp:extent cx="5274310" cy="4382770"/>
            <wp:effectExtent l="0" t="0" r="2540" b="0"/>
            <wp:docPr id="59" name="图表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14</w:t>
      </w:r>
      <w:r>
        <w:fldChar w:fldCharType="end"/>
      </w:r>
      <w:r>
        <w:t xml:space="preserve">  2019</w:t>
      </w:r>
      <w:r>
        <w:rPr>
          <w:rFonts w:hint="eastAsia"/>
        </w:rPr>
        <w:t>届本科已就业毕业生和未就业毕业生求职关注因素对比</w:t>
      </w:r>
    </w:p>
    <w:p w:rsidR="00603F28" w:rsidRDefault="00041260">
      <w:pPr>
        <w:pStyle w:val="4"/>
      </w:pPr>
      <w:r>
        <w:rPr>
          <w:rFonts w:hint="eastAsia"/>
        </w:rPr>
        <w:t>2.</w:t>
      </w:r>
      <w:r>
        <w:rPr>
          <w:rFonts w:hint="eastAsia"/>
        </w:rPr>
        <w:t>求职困难因素</w:t>
      </w:r>
    </w:p>
    <w:p w:rsidR="00603F28" w:rsidRDefault="00041260">
      <w:pPr>
        <w:ind w:firstLineChars="200" w:firstLine="420"/>
      </w:pPr>
      <w:r>
        <w:rPr>
          <w:rFonts w:hint="eastAsia"/>
        </w:rPr>
        <w:t>2019</w:t>
      </w:r>
      <w:r>
        <w:rPr>
          <w:rFonts w:hint="eastAsia"/>
        </w:rPr>
        <w:t>届本科已就业和未就业毕业生在求职过程中遇到</w:t>
      </w:r>
      <w:r>
        <w:rPr>
          <w:rFonts w:hint="eastAsia"/>
        </w:rPr>
        <w:t>的主要困难总体差异较小，其中，已就业毕业生求职过程中遇到“存在就业歧视”（</w:t>
      </w:r>
      <w:r>
        <w:rPr>
          <w:rFonts w:hint="eastAsia"/>
        </w:rPr>
        <w:t>9.61%</w:t>
      </w:r>
      <w:r>
        <w:rPr>
          <w:rFonts w:hint="eastAsia"/>
        </w:rPr>
        <w:t>）情况的比例高于未就业毕业生（</w:t>
      </w:r>
      <w:r>
        <w:rPr>
          <w:rFonts w:hint="eastAsia"/>
        </w:rPr>
        <w:t>2.61%</w:t>
      </w:r>
      <w:r>
        <w:rPr>
          <w:rFonts w:hint="eastAsia"/>
        </w:rPr>
        <w:t>）。</w:t>
      </w:r>
    </w:p>
    <w:p w:rsidR="00603F28" w:rsidRDefault="00041260">
      <w:pPr>
        <w:keepNext/>
      </w:pPr>
      <w:r>
        <w:rPr>
          <w:noProof/>
        </w:rPr>
        <w:drawing>
          <wp:inline distT="0" distB="0" distL="0" distR="0">
            <wp:extent cx="5274310" cy="4382770"/>
            <wp:effectExtent l="0" t="0" r="2540" b="0"/>
            <wp:docPr id="61" name="图表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15</w:t>
      </w:r>
      <w:r>
        <w:fldChar w:fldCharType="end"/>
      </w:r>
      <w:r>
        <w:t xml:space="preserve">  2019</w:t>
      </w:r>
      <w:r>
        <w:rPr>
          <w:rFonts w:hint="eastAsia"/>
        </w:rPr>
        <w:t>届本科已就业毕业生和未就业毕业生求职困难因素对比</w:t>
      </w:r>
    </w:p>
    <w:p w:rsidR="00603F28" w:rsidRDefault="00041260">
      <w:pPr>
        <w:pStyle w:val="4"/>
      </w:pPr>
      <w:r>
        <w:t>3</w:t>
      </w:r>
      <w:r>
        <w:rPr>
          <w:rFonts w:hint="eastAsia"/>
        </w:rPr>
        <w:t>.</w:t>
      </w:r>
      <w:r>
        <w:rPr>
          <w:rFonts w:hint="eastAsia"/>
        </w:rPr>
        <w:t>期望薪资</w:t>
      </w:r>
    </w:p>
    <w:p w:rsidR="00603F28" w:rsidRDefault="00041260">
      <w:pPr>
        <w:ind w:firstLineChars="200" w:firstLine="420"/>
      </w:pPr>
      <w:r>
        <w:t>2019</w:t>
      </w:r>
      <w:r>
        <w:rPr>
          <w:rFonts w:hint="eastAsia"/>
        </w:rPr>
        <w:t>届本科已就业毕业生和未就业毕业生期望薪资差异明显，已就业毕业生期望薪资标准显著高于未就业毕业生。已就业毕业生期望薪资在“</w:t>
      </w:r>
      <w:r>
        <w:rPr>
          <w:rFonts w:hint="eastAsia"/>
        </w:rPr>
        <w:t>7001-</w:t>
      </w:r>
      <w:r>
        <w:t>8000</w:t>
      </w:r>
      <w:r>
        <w:rPr>
          <w:rFonts w:hint="eastAsia"/>
        </w:rPr>
        <w:t>元”（</w:t>
      </w:r>
      <w:r>
        <w:rPr>
          <w:rFonts w:hint="eastAsia"/>
        </w:rPr>
        <w:t>20.13%</w:t>
      </w:r>
      <w:r>
        <w:rPr>
          <w:rFonts w:hint="eastAsia"/>
        </w:rPr>
        <w:t>）、“</w:t>
      </w:r>
      <w:r>
        <w:rPr>
          <w:rFonts w:hint="eastAsia"/>
        </w:rPr>
        <w:t>8001-</w:t>
      </w:r>
      <w:r>
        <w:t>9000</w:t>
      </w:r>
      <w:r>
        <w:rPr>
          <w:rFonts w:hint="eastAsia"/>
        </w:rPr>
        <w:t>元”（</w:t>
      </w:r>
      <w:r>
        <w:rPr>
          <w:rFonts w:hint="eastAsia"/>
        </w:rPr>
        <w:t>14.74%</w:t>
      </w:r>
      <w:r>
        <w:rPr>
          <w:rFonts w:hint="eastAsia"/>
        </w:rPr>
        <w:t>）和“</w:t>
      </w:r>
      <w:r>
        <w:rPr>
          <w:rFonts w:hint="eastAsia"/>
        </w:rPr>
        <w:t>10001</w:t>
      </w:r>
      <w:r>
        <w:rPr>
          <w:rFonts w:hint="eastAsia"/>
        </w:rPr>
        <w:t>元以上”（</w:t>
      </w:r>
      <w:r>
        <w:rPr>
          <w:rFonts w:hint="eastAsia"/>
        </w:rPr>
        <w:t>20.89%</w:t>
      </w:r>
      <w:r>
        <w:rPr>
          <w:rFonts w:hint="eastAsia"/>
        </w:rPr>
        <w:t>）的比例</w:t>
      </w:r>
      <w:r>
        <w:rPr>
          <w:rFonts w:hint="eastAsia"/>
        </w:rPr>
        <w:t>显著高于未就业毕业生（</w:t>
      </w:r>
      <w:r>
        <w:rPr>
          <w:rFonts w:hint="eastAsia"/>
        </w:rPr>
        <w:t>7.58%</w:t>
      </w:r>
      <w:r>
        <w:rPr>
          <w:rFonts w:hint="eastAsia"/>
        </w:rPr>
        <w:t>、</w:t>
      </w:r>
      <w:r>
        <w:rPr>
          <w:rFonts w:hint="eastAsia"/>
        </w:rPr>
        <w:t>9.09%</w:t>
      </w:r>
      <w:r>
        <w:rPr>
          <w:rFonts w:hint="eastAsia"/>
        </w:rPr>
        <w:t>和</w:t>
      </w:r>
      <w:r>
        <w:rPr>
          <w:rFonts w:hint="eastAsia"/>
        </w:rPr>
        <w:t>6.06%</w:t>
      </w:r>
      <w:r>
        <w:rPr>
          <w:rFonts w:hint="eastAsia"/>
        </w:rPr>
        <w:t>）；而期望薪资在“</w:t>
      </w:r>
      <w:r>
        <w:rPr>
          <w:rFonts w:hint="eastAsia"/>
        </w:rPr>
        <w:t>4001-</w:t>
      </w:r>
      <w:r>
        <w:t>5000</w:t>
      </w:r>
      <w:r>
        <w:rPr>
          <w:rFonts w:hint="eastAsia"/>
        </w:rPr>
        <w:t>元”（</w:t>
      </w:r>
      <w:r>
        <w:rPr>
          <w:rFonts w:hint="eastAsia"/>
        </w:rPr>
        <w:t>4.44%</w:t>
      </w:r>
      <w:r>
        <w:rPr>
          <w:rFonts w:hint="eastAsia"/>
        </w:rPr>
        <w:t>）、“</w:t>
      </w:r>
      <w:r>
        <w:rPr>
          <w:rFonts w:hint="eastAsia"/>
        </w:rPr>
        <w:t>5001-</w:t>
      </w:r>
      <w:r>
        <w:t>6000</w:t>
      </w:r>
      <w:r>
        <w:rPr>
          <w:rFonts w:hint="eastAsia"/>
        </w:rPr>
        <w:t>元”（</w:t>
      </w:r>
      <w:r>
        <w:rPr>
          <w:rFonts w:hint="eastAsia"/>
        </w:rPr>
        <w:t>13.33%</w:t>
      </w:r>
      <w:r>
        <w:rPr>
          <w:rFonts w:hint="eastAsia"/>
        </w:rPr>
        <w:t>）的比例显著低于未就业毕业生（</w:t>
      </w:r>
      <w:r>
        <w:rPr>
          <w:rFonts w:hint="eastAsia"/>
        </w:rPr>
        <w:t>22.73%</w:t>
      </w:r>
      <w:r>
        <w:rPr>
          <w:rFonts w:hint="eastAsia"/>
        </w:rPr>
        <w:t>和</w:t>
      </w:r>
      <w:r>
        <w:rPr>
          <w:rFonts w:hint="eastAsia"/>
        </w:rPr>
        <w:t>22.73%</w:t>
      </w:r>
      <w:r>
        <w:rPr>
          <w:rFonts w:hint="eastAsia"/>
        </w:rPr>
        <w:t>）。未就业毕业生在求职过程中，逐渐降低了期望薪资标准。</w:t>
      </w:r>
    </w:p>
    <w:p w:rsidR="00603F28" w:rsidRDefault="00041260">
      <w:pPr>
        <w:keepNext/>
      </w:pPr>
      <w:r>
        <w:rPr>
          <w:noProof/>
        </w:rPr>
        <w:drawing>
          <wp:inline distT="0" distB="0" distL="0" distR="0">
            <wp:extent cx="5274310" cy="4382770"/>
            <wp:effectExtent l="0" t="0" r="254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16</w:t>
      </w:r>
      <w:r>
        <w:fldChar w:fldCharType="end"/>
      </w:r>
      <w:r>
        <w:t xml:space="preserve">  2019</w:t>
      </w:r>
      <w:r>
        <w:rPr>
          <w:rFonts w:hint="eastAsia"/>
        </w:rPr>
        <w:t>届本科已就业毕业生和未就业毕业生期望薪资对比</w:t>
      </w:r>
    </w:p>
    <w:p w:rsidR="00603F28" w:rsidRDefault="00041260">
      <w:pPr>
        <w:pStyle w:val="2"/>
      </w:pPr>
      <w:bookmarkStart w:id="81" w:name="_Toc27642634"/>
      <w:r>
        <w:rPr>
          <w:rFonts w:hint="eastAsia"/>
        </w:rPr>
        <w:t>二、国（境）内外升学情况分析</w:t>
      </w:r>
      <w:bookmarkEnd w:id="81"/>
    </w:p>
    <w:p w:rsidR="00603F28" w:rsidRDefault="00041260">
      <w:pPr>
        <w:pStyle w:val="3"/>
      </w:pPr>
      <w:bookmarkStart w:id="82" w:name="_Toc27642635"/>
      <w:r>
        <w:rPr>
          <w:rFonts w:hint="eastAsia"/>
        </w:rPr>
        <w:t>（一）国（境）内、外升学率</w:t>
      </w:r>
      <w:bookmarkEnd w:id="82"/>
    </w:p>
    <w:p w:rsidR="00603F28" w:rsidRDefault="00041260">
      <w:pPr>
        <w:ind w:firstLineChars="200" w:firstLine="420"/>
      </w:pPr>
      <w:r>
        <w:rPr>
          <w:rFonts w:hint="eastAsia"/>
        </w:rPr>
        <w:t>2019</w:t>
      </w:r>
      <w:r>
        <w:rPr>
          <w:rFonts w:hint="eastAsia"/>
        </w:rPr>
        <w:t>届本科毕业生国（境）内升学人数为</w:t>
      </w:r>
      <w:r>
        <w:t>896</w:t>
      </w:r>
      <w:r>
        <w:rPr>
          <w:rFonts w:hint="eastAsia"/>
        </w:rPr>
        <w:t>人，总体国（境）内升学率为</w:t>
      </w:r>
      <w:r>
        <w:t>17.45</w:t>
      </w:r>
      <w:r>
        <w:rPr>
          <w:rFonts w:hint="eastAsia"/>
        </w:rPr>
        <w:t>%</w:t>
      </w:r>
      <w:r>
        <w:rPr>
          <w:rFonts w:hint="eastAsia"/>
        </w:rPr>
        <w:t>；</w:t>
      </w:r>
      <w:r>
        <w:rPr>
          <w:rFonts w:hint="eastAsia"/>
        </w:rPr>
        <w:t>2019</w:t>
      </w:r>
      <w:r>
        <w:rPr>
          <w:rFonts w:hint="eastAsia"/>
        </w:rPr>
        <w:t>届本科毕业生国（境）外升学人数为</w:t>
      </w:r>
      <w:r>
        <w:rPr>
          <w:rFonts w:hint="eastAsia"/>
        </w:rPr>
        <w:t>64</w:t>
      </w:r>
      <w:r>
        <w:t>2</w:t>
      </w:r>
      <w:r>
        <w:rPr>
          <w:rFonts w:hint="eastAsia"/>
        </w:rPr>
        <w:t>人，总体国（境）外升学率为</w:t>
      </w:r>
      <w:r>
        <w:rPr>
          <w:rFonts w:hint="eastAsia"/>
        </w:rPr>
        <w:t>12.5</w:t>
      </w:r>
      <w:r>
        <w:t>0</w:t>
      </w:r>
      <w:r>
        <w:rPr>
          <w:rFonts w:hint="eastAsia"/>
        </w:rPr>
        <w:t>%</w:t>
      </w:r>
    </w:p>
    <w:p w:rsidR="00603F28" w:rsidRDefault="00041260">
      <w:pPr>
        <w:pStyle w:val="3"/>
      </w:pPr>
      <w:bookmarkStart w:id="83" w:name="_Toc27642636"/>
      <w:r>
        <w:rPr>
          <w:rFonts w:hint="eastAsia"/>
        </w:rPr>
        <w:t>（二）国（境）内、外升学主要原因</w:t>
      </w:r>
      <w:bookmarkEnd w:id="83"/>
    </w:p>
    <w:p w:rsidR="00603F28" w:rsidRDefault="00041260">
      <w:pPr>
        <w:ind w:firstLineChars="200" w:firstLine="420"/>
      </w:pPr>
      <w:r>
        <w:rPr>
          <w:rFonts w:hint="eastAsia"/>
        </w:rPr>
        <w:t>2019</w:t>
      </w:r>
      <w:r>
        <w:rPr>
          <w:rFonts w:hint="eastAsia"/>
        </w:rPr>
        <w:t>届本科毕业生国（境）内升学的主要原因是“提升综合能力”（</w:t>
      </w:r>
      <w:r>
        <w:rPr>
          <w:rFonts w:hint="eastAsia"/>
        </w:rPr>
        <w:t>36.04%</w:t>
      </w:r>
      <w:r>
        <w:rPr>
          <w:rFonts w:hint="eastAsia"/>
        </w:rPr>
        <w:t>）和“提升学历层次”（</w:t>
      </w:r>
      <w:r>
        <w:rPr>
          <w:rFonts w:hint="eastAsia"/>
        </w:rPr>
        <w:t>36.04%</w:t>
      </w:r>
      <w:r>
        <w:rPr>
          <w:rFonts w:hint="eastAsia"/>
        </w:rPr>
        <w:t>）。</w:t>
      </w:r>
    </w:p>
    <w:p w:rsidR="00603F28" w:rsidRDefault="00041260">
      <w:pPr>
        <w:keepNext/>
        <w:jc w:val="center"/>
      </w:pPr>
      <w:r>
        <w:rPr>
          <w:noProof/>
        </w:rPr>
        <w:drawing>
          <wp:inline distT="0" distB="0" distL="0" distR="0">
            <wp:extent cx="4923790" cy="2251075"/>
            <wp:effectExtent l="0" t="0" r="0" b="0"/>
            <wp:docPr id="64"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17</w:t>
      </w:r>
      <w:r>
        <w:fldChar w:fldCharType="end"/>
      </w:r>
      <w:r>
        <w:t xml:space="preserve">  2019</w:t>
      </w:r>
      <w:r>
        <w:rPr>
          <w:rFonts w:hint="eastAsia"/>
        </w:rPr>
        <w:t>届本科毕业生国（境）内升学主要原因</w:t>
      </w:r>
    </w:p>
    <w:p w:rsidR="00603F28" w:rsidRDefault="00041260">
      <w:pPr>
        <w:ind w:firstLineChars="200" w:firstLine="420"/>
      </w:pPr>
      <w:r>
        <w:rPr>
          <w:rFonts w:hint="eastAsia"/>
        </w:rPr>
        <w:t>2019</w:t>
      </w:r>
      <w:r>
        <w:rPr>
          <w:rFonts w:hint="eastAsia"/>
        </w:rPr>
        <w:t>届本科毕业生国（境）外升学的主要原因是“提升综合竞争力”（</w:t>
      </w:r>
      <w:r>
        <w:rPr>
          <w:rFonts w:hint="eastAsia"/>
        </w:rPr>
        <w:t>36.63%</w:t>
      </w:r>
      <w:r>
        <w:rPr>
          <w:rFonts w:hint="eastAsia"/>
        </w:rPr>
        <w:t>）；其次是“增长见识，了解他国习俗与文化”（</w:t>
      </w:r>
      <w:r>
        <w:rPr>
          <w:rFonts w:hint="eastAsia"/>
        </w:rPr>
        <w:t>19.78%</w:t>
      </w:r>
      <w:r>
        <w:rPr>
          <w:rFonts w:hint="eastAsia"/>
        </w:rPr>
        <w:t>）。</w:t>
      </w:r>
    </w:p>
    <w:p w:rsidR="00603F28" w:rsidRDefault="00041260">
      <w:pPr>
        <w:keepNext/>
      </w:pPr>
      <w:r>
        <w:rPr>
          <w:noProof/>
        </w:rPr>
        <w:drawing>
          <wp:inline distT="0" distB="0" distL="0" distR="0">
            <wp:extent cx="5274310" cy="2846705"/>
            <wp:effectExtent l="0" t="0" r="2540" b="0"/>
            <wp:docPr id="65" name="图表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18</w:t>
      </w:r>
      <w:r>
        <w:fldChar w:fldCharType="end"/>
      </w:r>
      <w:r>
        <w:t xml:space="preserve">  2019</w:t>
      </w:r>
      <w:r>
        <w:t>届本科毕业生国（</w:t>
      </w:r>
      <w:r>
        <w:rPr>
          <w:rFonts w:hint="eastAsia"/>
        </w:rPr>
        <w:t>境</w:t>
      </w:r>
      <w:r>
        <w:t>）</w:t>
      </w:r>
      <w:r>
        <w:rPr>
          <w:rFonts w:hint="eastAsia"/>
        </w:rPr>
        <w:t>外升学主要原因</w:t>
      </w:r>
    </w:p>
    <w:p w:rsidR="00603F28" w:rsidRDefault="00041260">
      <w:pPr>
        <w:pStyle w:val="3"/>
      </w:pPr>
      <w:bookmarkStart w:id="84" w:name="_Toc27642637"/>
      <w:r>
        <w:rPr>
          <w:rFonts w:hint="eastAsia"/>
        </w:rPr>
        <w:t>（三）国（境）内、外升学专业相关度</w:t>
      </w:r>
      <w:bookmarkEnd w:id="84"/>
    </w:p>
    <w:p w:rsidR="00603F28" w:rsidRDefault="00041260">
      <w:pPr>
        <w:ind w:firstLineChars="200" w:firstLine="420"/>
      </w:pPr>
      <w:r>
        <w:rPr>
          <w:rFonts w:hint="eastAsia"/>
        </w:rPr>
        <w:t>2019</w:t>
      </w:r>
      <w:r>
        <w:rPr>
          <w:rFonts w:hint="eastAsia"/>
        </w:rPr>
        <w:t>届本科毕业生国（境）内升学的专业相关度为</w:t>
      </w:r>
      <w:r>
        <w:rPr>
          <w:rFonts w:hint="eastAsia"/>
        </w:rPr>
        <w:t>89.26%</w:t>
      </w:r>
      <w:r>
        <w:rPr>
          <w:rFonts w:hint="eastAsia"/>
        </w:rPr>
        <w:t>，国（境）外升学的专业相关度为</w:t>
      </w:r>
      <w:r>
        <w:rPr>
          <w:rFonts w:hint="eastAsia"/>
        </w:rPr>
        <w:t>90%</w:t>
      </w:r>
      <w:r>
        <w:rPr>
          <w:rFonts w:hint="eastAsia"/>
        </w:rPr>
        <w:t>。专业相关度较高。</w:t>
      </w:r>
    </w:p>
    <w:p w:rsidR="00603F28" w:rsidRDefault="00041260">
      <w:pPr>
        <w:keepNext/>
        <w:jc w:val="center"/>
      </w:pPr>
      <w:r>
        <w:rPr>
          <w:noProof/>
        </w:rPr>
        <w:drawing>
          <wp:inline distT="0" distB="0" distL="0" distR="0">
            <wp:extent cx="5634990" cy="1785620"/>
            <wp:effectExtent l="0" t="0" r="3810" b="508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57"/>
                    <a:stretch>
                      <a:fillRect/>
                    </a:stretch>
                  </pic:blipFill>
                  <pic:spPr>
                    <a:xfrm>
                      <a:off x="0" y="0"/>
                      <a:ext cx="5680420" cy="1800008"/>
                    </a:xfrm>
                    <a:prstGeom prst="rect">
                      <a:avLst/>
                    </a:prstGeom>
                  </pic:spPr>
                </pic:pic>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19</w:t>
      </w:r>
      <w:r>
        <w:fldChar w:fldCharType="end"/>
      </w:r>
      <w:r>
        <w:t xml:space="preserve">  2019</w:t>
      </w:r>
      <w:r>
        <w:rPr>
          <w:rFonts w:hint="eastAsia"/>
        </w:rPr>
        <w:t>届本科毕业生国（境）内、外升学专业相关度</w:t>
      </w:r>
    </w:p>
    <w:p w:rsidR="00603F28" w:rsidRDefault="00041260">
      <w:pPr>
        <w:ind w:firstLineChars="200" w:firstLine="420"/>
      </w:pPr>
      <w:r>
        <w:rPr>
          <w:rFonts w:hint="eastAsia"/>
        </w:rPr>
        <w:t>2019</w:t>
      </w:r>
      <w:r>
        <w:rPr>
          <w:rFonts w:hint="eastAsia"/>
        </w:rPr>
        <w:t>届本科毕业生继续深造转换专业的主要原因是“原专业不符合自己的兴趣”（</w:t>
      </w:r>
      <w:r>
        <w:rPr>
          <w:rFonts w:hint="eastAsia"/>
        </w:rPr>
        <w:t>20.00%</w:t>
      </w:r>
      <w:r>
        <w:rPr>
          <w:rFonts w:hint="eastAsia"/>
        </w:rPr>
        <w:t>）、“原专业不符合自己的职业期待”（</w:t>
      </w:r>
      <w:r>
        <w:rPr>
          <w:rFonts w:hint="eastAsia"/>
        </w:rPr>
        <w:t>19.26%</w:t>
      </w:r>
      <w:r>
        <w:rPr>
          <w:rFonts w:hint="eastAsia"/>
        </w:rPr>
        <w:t>）等。</w:t>
      </w:r>
    </w:p>
    <w:p w:rsidR="00603F28" w:rsidRDefault="00041260">
      <w:pPr>
        <w:keepNext/>
      </w:pPr>
      <w:r>
        <w:rPr>
          <w:noProof/>
        </w:rPr>
        <w:drawing>
          <wp:inline distT="0" distB="0" distL="0" distR="0">
            <wp:extent cx="5274310" cy="3148330"/>
            <wp:effectExtent l="0" t="0" r="2540" b="0"/>
            <wp:docPr id="74" name="图表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20</w:t>
      </w:r>
      <w:r>
        <w:fldChar w:fldCharType="end"/>
      </w:r>
      <w:r>
        <w:t xml:space="preserve">  2019</w:t>
      </w:r>
      <w:r>
        <w:rPr>
          <w:rFonts w:hint="eastAsia"/>
        </w:rPr>
        <w:t>届本科毕业生继续深造转换专业原因</w:t>
      </w:r>
    </w:p>
    <w:p w:rsidR="00603F28" w:rsidRDefault="00041260">
      <w:pPr>
        <w:pStyle w:val="2"/>
      </w:pPr>
      <w:bookmarkStart w:id="85" w:name="_Toc27642638"/>
      <w:r>
        <w:rPr>
          <w:rFonts w:hint="eastAsia"/>
        </w:rPr>
        <w:t>三、自主创业情况分析</w:t>
      </w:r>
      <w:bookmarkEnd w:id="85"/>
    </w:p>
    <w:p w:rsidR="00603F28" w:rsidRDefault="00041260">
      <w:pPr>
        <w:pStyle w:val="3"/>
        <w:spacing w:before="120"/>
      </w:pPr>
      <w:bookmarkStart w:id="86" w:name="_Toc713_WPSOffice_Level3"/>
      <w:bookmarkStart w:id="87" w:name="_Toc534724625"/>
      <w:bookmarkStart w:id="88" w:name="_Toc27642639"/>
      <w:r>
        <w:t>（一）</w:t>
      </w:r>
      <w:r>
        <w:rPr>
          <w:rFonts w:hint="eastAsia"/>
        </w:rPr>
        <w:t>自主创业原因</w:t>
      </w:r>
      <w:bookmarkEnd w:id="86"/>
      <w:bookmarkEnd w:id="87"/>
      <w:bookmarkEnd w:id="88"/>
    </w:p>
    <w:p w:rsidR="00603F28" w:rsidRDefault="00041260">
      <w:pPr>
        <w:ind w:firstLineChars="200" w:firstLine="420"/>
      </w:pPr>
      <w:bookmarkStart w:id="89" w:name="OLE_LINK11"/>
      <w:r>
        <w:rPr>
          <w:rFonts w:hint="eastAsia"/>
        </w:rPr>
        <w:t>2</w:t>
      </w:r>
      <w:r>
        <w:t>019</w:t>
      </w:r>
      <w:r>
        <w:rPr>
          <w:rFonts w:hint="eastAsia"/>
        </w:rPr>
        <w:t>届本科毕业生自主创业的主要原因是“实现个人理想及价值”（</w:t>
      </w:r>
      <w:r>
        <w:rPr>
          <w:rFonts w:hint="eastAsia"/>
        </w:rPr>
        <w:t>35.71%</w:t>
      </w:r>
      <w:r>
        <w:rPr>
          <w:rFonts w:hint="eastAsia"/>
        </w:rPr>
        <w:t>）；其次是“有好的创业项目”（</w:t>
      </w:r>
      <w:r>
        <w:rPr>
          <w:rFonts w:hint="eastAsia"/>
        </w:rPr>
        <w:t>30.95%</w:t>
      </w:r>
      <w:r>
        <w:rPr>
          <w:rFonts w:hint="eastAsia"/>
        </w:rPr>
        <w:t>）。</w:t>
      </w:r>
    </w:p>
    <w:bookmarkEnd w:id="89"/>
    <w:p w:rsidR="00603F28" w:rsidRDefault="00041260">
      <w:pPr>
        <w:keepNext/>
      </w:pPr>
      <w:r>
        <w:rPr>
          <w:noProof/>
        </w:rPr>
        <w:drawing>
          <wp:inline distT="0" distB="0" distL="0" distR="0">
            <wp:extent cx="5274310" cy="2181860"/>
            <wp:effectExtent l="0" t="0" r="2540" b="8890"/>
            <wp:docPr id="75" name="图表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21</w:t>
      </w:r>
      <w:r>
        <w:fldChar w:fldCharType="end"/>
      </w:r>
      <w:r>
        <w:t xml:space="preserve">  2019</w:t>
      </w:r>
      <w:r>
        <w:t>届本科毕业生</w:t>
      </w:r>
      <w:r>
        <w:rPr>
          <w:rFonts w:hint="eastAsia"/>
        </w:rPr>
        <w:t>自主创业原因</w:t>
      </w:r>
    </w:p>
    <w:p w:rsidR="00603F28" w:rsidRDefault="00041260">
      <w:pPr>
        <w:pStyle w:val="3"/>
        <w:spacing w:before="120"/>
      </w:pPr>
      <w:bookmarkStart w:id="90" w:name="_Toc534724626"/>
      <w:bookmarkStart w:id="91" w:name="_Toc7763_WPSOffice_Level3"/>
      <w:bookmarkStart w:id="92" w:name="_Toc27642640"/>
      <w:r>
        <w:t>（二）</w:t>
      </w:r>
      <w:r>
        <w:rPr>
          <w:rFonts w:hint="eastAsia"/>
        </w:rPr>
        <w:t>自主</w:t>
      </w:r>
      <w:r>
        <w:rPr>
          <w:rFonts w:hint="eastAsia"/>
        </w:rPr>
        <w:t>创业方式和类型</w:t>
      </w:r>
      <w:bookmarkEnd w:id="90"/>
      <w:bookmarkEnd w:id="91"/>
      <w:bookmarkEnd w:id="92"/>
    </w:p>
    <w:p w:rsidR="00603F28" w:rsidRDefault="00041260">
      <w:pPr>
        <w:ind w:firstLineChars="200" w:firstLine="420"/>
      </w:pPr>
      <w:r>
        <w:rPr>
          <w:rFonts w:hint="eastAsia"/>
        </w:rPr>
        <w:t>2</w:t>
      </w:r>
      <w:r>
        <w:t>019</w:t>
      </w:r>
      <w:r>
        <w:rPr>
          <w:rFonts w:hint="eastAsia"/>
        </w:rPr>
        <w:t>届本科毕业生自主创业方式主要为“带领团队创业”（</w:t>
      </w:r>
      <w:r>
        <w:rPr>
          <w:rFonts w:hint="eastAsia"/>
        </w:rPr>
        <w:t>38.10%</w:t>
      </w:r>
      <w:r>
        <w:rPr>
          <w:rFonts w:hint="eastAsia"/>
        </w:rPr>
        <w:t>）和“与人合伙创业”（</w:t>
      </w:r>
      <w:r>
        <w:rPr>
          <w:rFonts w:hint="eastAsia"/>
        </w:rPr>
        <w:t>33.33%</w:t>
      </w:r>
      <w:r>
        <w:rPr>
          <w:rFonts w:hint="eastAsia"/>
        </w:rPr>
        <w:t>）。</w:t>
      </w:r>
    </w:p>
    <w:p w:rsidR="00603F28" w:rsidRDefault="00041260">
      <w:pPr>
        <w:keepNext/>
      </w:pPr>
      <w:r>
        <w:rPr>
          <w:noProof/>
        </w:rPr>
        <w:drawing>
          <wp:inline distT="0" distB="0" distL="0" distR="0">
            <wp:extent cx="4943475" cy="2743200"/>
            <wp:effectExtent l="0" t="0" r="0" b="0"/>
            <wp:docPr id="76" name="图表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22</w:t>
      </w:r>
      <w:r>
        <w:fldChar w:fldCharType="end"/>
      </w:r>
      <w:r>
        <w:t xml:space="preserve">  2019</w:t>
      </w:r>
      <w:r>
        <w:t>届本科毕业生自主创业方式</w:t>
      </w:r>
    </w:p>
    <w:p w:rsidR="00603F28" w:rsidRDefault="00041260">
      <w:pPr>
        <w:ind w:firstLineChars="200" w:firstLine="420"/>
      </w:pPr>
      <w:r>
        <w:rPr>
          <w:rFonts w:hint="eastAsia"/>
        </w:rPr>
        <w:t>2</w:t>
      </w:r>
      <w:r>
        <w:t>019</w:t>
      </w:r>
      <w:r>
        <w:rPr>
          <w:rFonts w:hint="eastAsia"/>
        </w:rPr>
        <w:t>届本科毕业生自主创业类型</w:t>
      </w:r>
      <w:r>
        <w:rPr>
          <w:rFonts w:hint="eastAsia"/>
          <w:sz w:val="18"/>
          <w:szCs w:val="18"/>
          <w:vertAlign w:val="superscript"/>
        </w:rPr>
        <w:t>[</w:t>
      </w:r>
      <w:r>
        <w:rPr>
          <w:rStyle w:val="afc"/>
          <w:sz w:val="18"/>
          <w:szCs w:val="18"/>
        </w:rPr>
        <w:footnoteReference w:id="9"/>
      </w:r>
      <w:r>
        <w:rPr>
          <w:sz w:val="18"/>
          <w:szCs w:val="18"/>
          <w:vertAlign w:val="superscript"/>
        </w:rPr>
        <w:t>]</w:t>
      </w:r>
      <w:r>
        <w:rPr>
          <w:rFonts w:hint="eastAsia"/>
        </w:rPr>
        <w:t>主要为“从事企业创业”（</w:t>
      </w:r>
      <w:r>
        <w:rPr>
          <w:rFonts w:hint="eastAsia"/>
        </w:rPr>
        <w:t>38.10%</w:t>
      </w:r>
      <w:r>
        <w:rPr>
          <w:rFonts w:hint="eastAsia"/>
        </w:rPr>
        <w:t>）和“从事非企业创业”（</w:t>
      </w:r>
      <w:r>
        <w:rPr>
          <w:rFonts w:hint="eastAsia"/>
        </w:rPr>
        <w:t>3</w:t>
      </w:r>
      <w:r>
        <w:t>0.95</w:t>
      </w:r>
      <w:r>
        <w:rPr>
          <w:rFonts w:hint="eastAsia"/>
        </w:rPr>
        <w:t>%</w:t>
      </w:r>
      <w:r>
        <w:rPr>
          <w:rFonts w:hint="eastAsia"/>
        </w:rPr>
        <w:t>）。</w:t>
      </w:r>
    </w:p>
    <w:p w:rsidR="00603F28" w:rsidRDefault="00041260">
      <w:pPr>
        <w:keepNext/>
      </w:pPr>
      <w:r>
        <w:rPr>
          <w:noProof/>
        </w:rPr>
        <w:drawing>
          <wp:inline distT="0" distB="0" distL="0" distR="0">
            <wp:extent cx="4943475" cy="2743200"/>
            <wp:effectExtent l="0" t="0" r="0" b="0"/>
            <wp:docPr id="77" name="图表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23</w:t>
      </w:r>
      <w:r>
        <w:fldChar w:fldCharType="end"/>
      </w:r>
      <w:r>
        <w:t xml:space="preserve">  2019</w:t>
      </w:r>
      <w:r>
        <w:t>届本科毕业生自主创业类型</w:t>
      </w:r>
    </w:p>
    <w:p w:rsidR="00603F28" w:rsidRDefault="00041260">
      <w:pPr>
        <w:pStyle w:val="3"/>
        <w:spacing w:before="120"/>
      </w:pPr>
      <w:bookmarkStart w:id="93" w:name="_Toc7315_WPSOffice_Level3"/>
      <w:bookmarkStart w:id="94" w:name="_Toc534724627"/>
      <w:bookmarkStart w:id="95" w:name="_Toc27642641"/>
      <w:r>
        <w:t>（三）</w:t>
      </w:r>
      <w:r>
        <w:rPr>
          <w:rFonts w:hint="eastAsia"/>
        </w:rPr>
        <w:t>自主创业主要困难</w:t>
      </w:r>
      <w:bookmarkEnd w:id="93"/>
      <w:bookmarkEnd w:id="94"/>
      <w:bookmarkEnd w:id="95"/>
    </w:p>
    <w:p w:rsidR="00603F28" w:rsidRDefault="00041260">
      <w:pPr>
        <w:ind w:firstLineChars="200" w:firstLine="420"/>
      </w:pPr>
      <w:r>
        <w:rPr>
          <w:rFonts w:hint="eastAsia"/>
        </w:rPr>
        <w:t>2</w:t>
      </w:r>
      <w:r>
        <w:t>019</w:t>
      </w:r>
      <w:r>
        <w:rPr>
          <w:rFonts w:hint="eastAsia"/>
        </w:rPr>
        <w:t>届本科毕业生自主创业面临的主要困难为“资金的筹措”和“创业团队组建”，占比均为</w:t>
      </w:r>
      <w:r>
        <w:t>17.95</w:t>
      </w:r>
      <w:r>
        <w:rPr>
          <w:rFonts w:hint="eastAsia"/>
        </w:rPr>
        <w:t>%</w:t>
      </w:r>
      <w:r>
        <w:rPr>
          <w:rFonts w:hint="eastAsia"/>
        </w:rPr>
        <w:t>；其次是“社会关系缺乏”（</w:t>
      </w:r>
      <w:r>
        <w:rPr>
          <w:rFonts w:hint="eastAsia"/>
        </w:rPr>
        <w:t>16.67%</w:t>
      </w:r>
      <w:r>
        <w:rPr>
          <w:rFonts w:hint="eastAsia"/>
        </w:rPr>
        <w:t>）和“企业创办手续审批”（</w:t>
      </w:r>
      <w:r>
        <w:rPr>
          <w:rFonts w:hint="eastAsia"/>
        </w:rPr>
        <w:t>1</w:t>
      </w:r>
      <w:r>
        <w:t>6.67</w:t>
      </w:r>
      <w:r>
        <w:rPr>
          <w:rFonts w:hint="eastAsia"/>
        </w:rPr>
        <w:t>%</w:t>
      </w:r>
      <w:r>
        <w:rPr>
          <w:rFonts w:hint="eastAsia"/>
        </w:rPr>
        <w:t>）。</w:t>
      </w:r>
    </w:p>
    <w:p w:rsidR="00603F28" w:rsidRDefault="00041260">
      <w:pPr>
        <w:keepNext/>
      </w:pPr>
      <w:r>
        <w:rPr>
          <w:noProof/>
        </w:rPr>
        <w:drawing>
          <wp:inline distT="0" distB="0" distL="0" distR="0">
            <wp:extent cx="5274310" cy="2717165"/>
            <wp:effectExtent l="0" t="0" r="2540" b="6985"/>
            <wp:docPr id="54"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24</w:t>
      </w:r>
      <w:r>
        <w:fldChar w:fldCharType="end"/>
      </w:r>
      <w:r>
        <w:t xml:space="preserve">  2019</w:t>
      </w:r>
      <w:r>
        <w:t>届本科毕业生自主创业主要困难</w:t>
      </w:r>
    </w:p>
    <w:p w:rsidR="00603F28" w:rsidRDefault="00041260">
      <w:pPr>
        <w:pStyle w:val="3"/>
        <w:spacing w:before="120"/>
      </w:pPr>
      <w:bookmarkStart w:id="96" w:name="_Toc534724628"/>
      <w:bookmarkStart w:id="97" w:name="_Toc27642642"/>
      <w:bookmarkStart w:id="98" w:name="_Toc10027_WPSOffice_Level3"/>
      <w:r>
        <w:t>（四）</w:t>
      </w:r>
      <w:r>
        <w:rPr>
          <w:rFonts w:hint="eastAsia"/>
        </w:rPr>
        <w:t>自主创业资金来源</w:t>
      </w:r>
      <w:bookmarkEnd w:id="96"/>
      <w:bookmarkEnd w:id="97"/>
      <w:bookmarkEnd w:id="98"/>
    </w:p>
    <w:p w:rsidR="00603F28" w:rsidRDefault="00041260">
      <w:pPr>
        <w:ind w:firstLineChars="200" w:firstLine="420"/>
      </w:pPr>
      <w:r>
        <w:rPr>
          <w:rFonts w:hint="eastAsia"/>
        </w:rPr>
        <w:t>2</w:t>
      </w:r>
      <w:r>
        <w:t>019</w:t>
      </w:r>
      <w:r>
        <w:rPr>
          <w:rFonts w:hint="eastAsia"/>
        </w:rPr>
        <w:t>届本科毕业生自主创业资金主要来源于“大学生创业贷款”（</w:t>
      </w:r>
      <w:r>
        <w:t>42.86</w:t>
      </w:r>
      <w:r>
        <w:rPr>
          <w:rFonts w:hint="eastAsia"/>
        </w:rPr>
        <w:t>%</w:t>
      </w:r>
      <w:r>
        <w:rPr>
          <w:rFonts w:hint="eastAsia"/>
        </w:rPr>
        <w:t>），其次是“创业扶持基金”（</w:t>
      </w:r>
      <w:r>
        <w:rPr>
          <w:rFonts w:hint="eastAsia"/>
        </w:rPr>
        <w:t>2</w:t>
      </w:r>
      <w:r>
        <w:t>8.57</w:t>
      </w:r>
      <w:r>
        <w:rPr>
          <w:rFonts w:hint="eastAsia"/>
        </w:rPr>
        <w:t>%</w:t>
      </w:r>
      <w:r>
        <w:rPr>
          <w:rFonts w:hint="eastAsia"/>
        </w:rPr>
        <w:t>）。</w:t>
      </w:r>
    </w:p>
    <w:p w:rsidR="00603F28" w:rsidRDefault="00041260">
      <w:pPr>
        <w:keepNext/>
        <w:jc w:val="center"/>
      </w:pPr>
      <w:r>
        <w:rPr>
          <w:noProof/>
        </w:rPr>
        <w:drawing>
          <wp:inline distT="0" distB="0" distL="0" distR="0">
            <wp:extent cx="4943475" cy="2743200"/>
            <wp:effectExtent l="0" t="0" r="0" b="0"/>
            <wp:docPr id="80" name="图表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25</w:t>
      </w:r>
      <w:r>
        <w:fldChar w:fldCharType="end"/>
      </w:r>
      <w:r>
        <w:t xml:space="preserve">  2019</w:t>
      </w:r>
      <w:r>
        <w:rPr>
          <w:rFonts w:hint="eastAsia"/>
        </w:rPr>
        <w:t>届本科毕业生自主创业资金来源</w:t>
      </w:r>
    </w:p>
    <w:p w:rsidR="00603F28" w:rsidRDefault="00041260">
      <w:pPr>
        <w:pStyle w:val="3"/>
        <w:spacing w:before="120"/>
      </w:pPr>
      <w:bookmarkStart w:id="99" w:name="_Toc534724629"/>
      <w:bookmarkStart w:id="100" w:name="_Toc20361_WPSOffice_Level3"/>
      <w:bookmarkStart w:id="101" w:name="_Toc27642643"/>
      <w:r>
        <w:t>（</w:t>
      </w:r>
      <w:r>
        <w:rPr>
          <w:rFonts w:hint="eastAsia"/>
        </w:rPr>
        <w:t>五</w:t>
      </w:r>
      <w:r>
        <w:t>）</w:t>
      </w:r>
      <w:r>
        <w:rPr>
          <w:rFonts w:hint="eastAsia"/>
        </w:rPr>
        <w:t>家人对毕业生自主创业态度</w:t>
      </w:r>
      <w:bookmarkEnd w:id="99"/>
      <w:bookmarkEnd w:id="100"/>
      <w:bookmarkEnd w:id="101"/>
    </w:p>
    <w:p w:rsidR="00603F28" w:rsidRDefault="00041260">
      <w:pPr>
        <w:ind w:firstLineChars="200" w:firstLine="420"/>
      </w:pPr>
      <w:r>
        <w:rPr>
          <w:rFonts w:hint="eastAsia"/>
        </w:rPr>
        <w:t>2</w:t>
      </w:r>
      <w:r>
        <w:t>019</w:t>
      </w:r>
      <w:r>
        <w:rPr>
          <w:rFonts w:hint="eastAsia"/>
        </w:rPr>
        <w:t>届选择自主创业的毕业生家人中，对毕业生自主创业明确表示支持的为</w:t>
      </w:r>
      <w:r>
        <w:t>66.67</w:t>
      </w:r>
      <w:r>
        <w:rPr>
          <w:rFonts w:hint="eastAsia"/>
        </w:rPr>
        <w:t>%</w:t>
      </w:r>
      <w:r>
        <w:rPr>
          <w:rFonts w:hint="eastAsia"/>
        </w:rPr>
        <w:t>，</w:t>
      </w:r>
      <w:r>
        <w:t>11.90</w:t>
      </w:r>
      <w:r>
        <w:rPr>
          <w:rFonts w:hint="eastAsia"/>
        </w:rPr>
        <w:t>%</w:t>
      </w:r>
      <w:r>
        <w:rPr>
          <w:rFonts w:hint="eastAsia"/>
        </w:rPr>
        <w:t>的家人明确反对毕业生自主创业。</w:t>
      </w:r>
    </w:p>
    <w:p w:rsidR="00603F28" w:rsidRDefault="00041260">
      <w:pPr>
        <w:keepNext/>
        <w:jc w:val="center"/>
      </w:pPr>
      <w:r>
        <w:rPr>
          <w:noProof/>
        </w:rPr>
        <w:drawing>
          <wp:inline distT="0" distB="0" distL="0" distR="0">
            <wp:extent cx="4943475" cy="2743200"/>
            <wp:effectExtent l="0" t="0" r="0" b="0"/>
            <wp:docPr id="84" name="图表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26</w:t>
      </w:r>
      <w:r>
        <w:fldChar w:fldCharType="end"/>
      </w:r>
      <w:r>
        <w:t xml:space="preserve">  2019</w:t>
      </w:r>
      <w:r>
        <w:rPr>
          <w:rFonts w:hint="eastAsia"/>
        </w:rPr>
        <w:t>届本科毕业生自主创业家人态度</w:t>
      </w:r>
    </w:p>
    <w:p w:rsidR="00603F28" w:rsidRDefault="00041260">
      <w:pPr>
        <w:pStyle w:val="3"/>
        <w:spacing w:before="120"/>
      </w:pPr>
      <w:bookmarkStart w:id="102" w:name="_Toc13673_WPSOffice_Level3"/>
      <w:bookmarkStart w:id="103" w:name="_Toc534724630"/>
      <w:bookmarkStart w:id="104" w:name="_Toc27642644"/>
      <w:r>
        <w:t>（</w:t>
      </w:r>
      <w:r>
        <w:rPr>
          <w:rFonts w:hint="eastAsia"/>
        </w:rPr>
        <w:t>六</w:t>
      </w:r>
      <w:r>
        <w:t>）</w:t>
      </w:r>
      <w:r>
        <w:rPr>
          <w:rFonts w:hint="eastAsia"/>
        </w:rPr>
        <w:t>自主创业</w:t>
      </w:r>
      <w:bookmarkEnd w:id="102"/>
      <w:bookmarkEnd w:id="103"/>
      <w:r>
        <w:rPr>
          <w:rFonts w:hint="eastAsia"/>
        </w:rPr>
        <w:t>助力因素</w:t>
      </w:r>
      <w:bookmarkEnd w:id="104"/>
    </w:p>
    <w:p w:rsidR="00603F28" w:rsidRDefault="00041260">
      <w:pPr>
        <w:ind w:firstLineChars="200" w:firstLine="420"/>
      </w:pPr>
      <w:r>
        <w:rPr>
          <w:rFonts w:hint="eastAsia"/>
        </w:rPr>
        <w:t>2</w:t>
      </w:r>
      <w:r>
        <w:t>019</w:t>
      </w:r>
      <w:r>
        <w:rPr>
          <w:rFonts w:hint="eastAsia"/>
        </w:rPr>
        <w:t>届本科毕业生认为在校期间参加的、对自主创业帮助最大的活动主要是“创业论坛及讲座”（</w:t>
      </w:r>
      <w:r>
        <w:rPr>
          <w:rFonts w:hint="eastAsia"/>
        </w:rPr>
        <w:t>1</w:t>
      </w:r>
      <w:r>
        <w:t>5.19</w:t>
      </w:r>
      <w:r>
        <w:rPr>
          <w:rFonts w:hint="eastAsia"/>
        </w:rPr>
        <w:t>%</w:t>
      </w:r>
      <w:r>
        <w:rPr>
          <w:rFonts w:hint="eastAsia"/>
        </w:rPr>
        <w:t>）和“创业成果展”（</w:t>
      </w:r>
      <w:r>
        <w:rPr>
          <w:rFonts w:hint="eastAsia"/>
        </w:rPr>
        <w:t>13.92%</w:t>
      </w:r>
      <w:r>
        <w:rPr>
          <w:rFonts w:hint="eastAsia"/>
        </w:rPr>
        <w:t>）；其次是“典型事迹报告”（</w:t>
      </w:r>
      <w:r>
        <w:rPr>
          <w:rFonts w:hint="eastAsia"/>
        </w:rPr>
        <w:t>12.66%</w:t>
      </w:r>
      <w:r>
        <w:rPr>
          <w:rFonts w:hint="eastAsia"/>
        </w:rPr>
        <w:t>）、“创业经验交流”（</w:t>
      </w:r>
      <w:r>
        <w:rPr>
          <w:rFonts w:hint="eastAsia"/>
        </w:rPr>
        <w:t>12.66%</w:t>
      </w:r>
      <w:r>
        <w:rPr>
          <w:rFonts w:hint="eastAsia"/>
        </w:rPr>
        <w:t>）和“创业大赛”（</w:t>
      </w:r>
      <w:r>
        <w:rPr>
          <w:rFonts w:hint="eastAsia"/>
        </w:rPr>
        <w:t>12.66%</w:t>
      </w:r>
      <w:r>
        <w:rPr>
          <w:rFonts w:hint="eastAsia"/>
        </w:rPr>
        <w:t>）。</w:t>
      </w:r>
    </w:p>
    <w:p w:rsidR="00603F28" w:rsidRDefault="00041260">
      <w:pPr>
        <w:keepNext/>
      </w:pPr>
      <w:r>
        <w:rPr>
          <w:noProof/>
        </w:rPr>
        <w:drawing>
          <wp:inline distT="0" distB="0" distL="0" distR="0">
            <wp:extent cx="5274310" cy="3165475"/>
            <wp:effectExtent l="0" t="0" r="2540" b="0"/>
            <wp:docPr id="85" name="图表 85"/>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27</w:t>
      </w:r>
      <w:r>
        <w:fldChar w:fldCharType="end"/>
      </w:r>
      <w:r>
        <w:t xml:space="preserve">  2019</w:t>
      </w:r>
      <w:r>
        <w:rPr>
          <w:rFonts w:hint="eastAsia"/>
        </w:rPr>
        <w:t>届本科毕业生自主创业助力因素</w:t>
      </w:r>
    </w:p>
    <w:p w:rsidR="00603F28" w:rsidRDefault="00041260">
      <w:pPr>
        <w:pStyle w:val="3"/>
        <w:spacing w:before="120"/>
      </w:pPr>
      <w:bookmarkStart w:id="105" w:name="_Toc27642645"/>
      <w:r>
        <w:t>（</w:t>
      </w:r>
      <w:r>
        <w:rPr>
          <w:rFonts w:hint="eastAsia"/>
        </w:rPr>
        <w:t>七</w:t>
      </w:r>
      <w:r>
        <w:t>）</w:t>
      </w:r>
      <w:r>
        <w:rPr>
          <w:rFonts w:hint="eastAsia"/>
        </w:rPr>
        <w:t>自主创业准备</w:t>
      </w:r>
      <w:bookmarkEnd w:id="105"/>
    </w:p>
    <w:p w:rsidR="00603F28" w:rsidRDefault="00041260">
      <w:pPr>
        <w:ind w:firstLineChars="200" w:firstLine="420"/>
      </w:pPr>
      <w:r>
        <w:rPr>
          <w:rFonts w:hint="eastAsia"/>
        </w:rPr>
        <w:t>2</w:t>
      </w:r>
      <w:r>
        <w:t>019</w:t>
      </w:r>
      <w:r>
        <w:rPr>
          <w:rFonts w:hint="eastAsia"/>
        </w:rPr>
        <w:t>届本科毕业生中，</w:t>
      </w:r>
      <w:r>
        <w:t>26.58</w:t>
      </w:r>
      <w:r>
        <w:rPr>
          <w:rFonts w:hint="eastAsia"/>
        </w:rPr>
        <w:t>%</w:t>
      </w:r>
      <w:r>
        <w:rPr>
          <w:rFonts w:hint="eastAsia"/>
        </w:rPr>
        <w:t>的毕业生在自主创业前选择“到社会中历练”；其次是“研读创业书籍”（</w:t>
      </w:r>
      <w:r>
        <w:rPr>
          <w:rFonts w:hint="eastAsia"/>
        </w:rPr>
        <w:t>18.99%</w:t>
      </w:r>
      <w:r>
        <w:rPr>
          <w:rFonts w:hint="eastAsia"/>
        </w:rPr>
        <w:t>）、“多和朋友沟通、整合身边资源”（</w:t>
      </w:r>
      <w:r>
        <w:rPr>
          <w:rFonts w:hint="eastAsia"/>
        </w:rPr>
        <w:t>16.46%</w:t>
      </w:r>
      <w:r>
        <w:rPr>
          <w:rFonts w:hint="eastAsia"/>
        </w:rPr>
        <w:t>）等。</w:t>
      </w:r>
    </w:p>
    <w:p w:rsidR="00603F28" w:rsidRDefault="00041260">
      <w:pPr>
        <w:keepNext/>
      </w:pPr>
      <w:r>
        <w:rPr>
          <w:noProof/>
        </w:rPr>
        <w:drawing>
          <wp:inline distT="0" distB="0" distL="0" distR="0">
            <wp:extent cx="5274310" cy="2406650"/>
            <wp:effectExtent l="0" t="0" r="2540" b="0"/>
            <wp:docPr id="86" name="图表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28</w:t>
      </w:r>
      <w:r>
        <w:fldChar w:fldCharType="end"/>
      </w:r>
      <w:r>
        <w:t xml:space="preserve">  2019</w:t>
      </w:r>
      <w:r>
        <w:t>届本科毕业生自主</w:t>
      </w:r>
      <w:r>
        <w:t>创业准备</w:t>
      </w:r>
    </w:p>
    <w:p w:rsidR="00603F28" w:rsidRDefault="00041260">
      <w:pPr>
        <w:pStyle w:val="2"/>
      </w:pPr>
      <w:bookmarkStart w:id="106" w:name="_Toc27642646"/>
      <w:r>
        <w:rPr>
          <w:rFonts w:hint="eastAsia"/>
        </w:rPr>
        <w:t>四、留赣就业情况分析</w:t>
      </w:r>
      <w:bookmarkEnd w:id="106"/>
    </w:p>
    <w:p w:rsidR="00603F28" w:rsidRDefault="00041260">
      <w:pPr>
        <w:pStyle w:val="3"/>
        <w:spacing w:before="120"/>
      </w:pPr>
      <w:bookmarkStart w:id="107" w:name="_Toc27642647"/>
      <w:r>
        <w:t>（一）</w:t>
      </w:r>
      <w:r>
        <w:rPr>
          <w:rFonts w:hint="eastAsia"/>
        </w:rPr>
        <w:t>留赣就业比例</w:t>
      </w:r>
      <w:bookmarkEnd w:id="107"/>
    </w:p>
    <w:p w:rsidR="00603F28" w:rsidRDefault="00041260">
      <w:pPr>
        <w:ind w:firstLineChars="200" w:firstLine="420"/>
      </w:pPr>
      <w:r>
        <w:rPr>
          <w:rFonts w:hint="eastAsia"/>
        </w:rPr>
        <w:t>调研样本中，</w:t>
      </w:r>
      <w:r>
        <w:rPr>
          <w:rFonts w:hint="eastAsia"/>
        </w:rPr>
        <w:t>2019</w:t>
      </w:r>
      <w:r>
        <w:rPr>
          <w:rFonts w:hint="eastAsia"/>
        </w:rPr>
        <w:t>届本科毕业生选择留赣就业的比例为</w:t>
      </w:r>
      <w:r>
        <w:rPr>
          <w:rFonts w:hint="eastAsia"/>
        </w:rPr>
        <w:t>25.13%</w:t>
      </w:r>
      <w:r>
        <w:rPr>
          <w:rFonts w:hint="eastAsia"/>
        </w:rPr>
        <w:t>，未留赣就业的占比</w:t>
      </w:r>
      <w:r>
        <w:rPr>
          <w:rFonts w:hint="eastAsia"/>
        </w:rPr>
        <w:t>74.87%</w:t>
      </w:r>
      <w:r>
        <w:rPr>
          <w:rFonts w:hint="eastAsia"/>
        </w:rPr>
        <w:t>。</w:t>
      </w:r>
    </w:p>
    <w:p w:rsidR="00603F28" w:rsidRDefault="00041260">
      <w:pPr>
        <w:keepNext/>
        <w:jc w:val="center"/>
      </w:pPr>
      <w:r>
        <w:rPr>
          <w:noProof/>
        </w:rPr>
        <w:drawing>
          <wp:inline distT="0" distB="0" distL="0" distR="0">
            <wp:extent cx="4943475" cy="2743200"/>
            <wp:effectExtent l="0" t="0" r="0" b="0"/>
            <wp:docPr id="87" name="图表 87"/>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29</w:t>
      </w:r>
      <w:r>
        <w:fldChar w:fldCharType="end"/>
      </w:r>
      <w:r>
        <w:t xml:space="preserve">  2019</w:t>
      </w:r>
      <w:r>
        <w:rPr>
          <w:rFonts w:hint="eastAsia"/>
        </w:rPr>
        <w:t>届本科毕业生留赣就业比例</w:t>
      </w:r>
    </w:p>
    <w:p w:rsidR="00603F28" w:rsidRDefault="00041260">
      <w:pPr>
        <w:pStyle w:val="3"/>
        <w:spacing w:before="120"/>
      </w:pPr>
      <w:bookmarkStart w:id="108" w:name="_Toc27642648"/>
      <w:r>
        <w:t>（</w:t>
      </w:r>
      <w:r>
        <w:rPr>
          <w:rFonts w:hint="eastAsia"/>
        </w:rPr>
        <w:t>二</w:t>
      </w:r>
      <w:r>
        <w:t>）</w:t>
      </w:r>
      <w:r>
        <w:rPr>
          <w:rFonts w:hint="eastAsia"/>
        </w:rPr>
        <w:t>留赣影响因素</w:t>
      </w:r>
      <w:bookmarkEnd w:id="108"/>
    </w:p>
    <w:p w:rsidR="00603F28" w:rsidRDefault="00041260">
      <w:pPr>
        <w:ind w:firstLineChars="200" w:firstLine="420"/>
      </w:pPr>
      <w:r>
        <w:t>2019</w:t>
      </w:r>
      <w:r>
        <w:rPr>
          <w:rFonts w:hint="eastAsia"/>
        </w:rPr>
        <w:t>届本科毕业生选择留赣就业的主要原因是“选择回乡”，占比</w:t>
      </w:r>
      <w:r>
        <w:rPr>
          <w:rFonts w:hint="eastAsia"/>
        </w:rPr>
        <w:t>26.88%</w:t>
      </w:r>
      <w:r>
        <w:rPr>
          <w:rFonts w:hint="eastAsia"/>
        </w:rPr>
        <w:t>，其次是“生活成本和生活节奏”（</w:t>
      </w:r>
      <w:r>
        <w:rPr>
          <w:rFonts w:hint="eastAsia"/>
        </w:rPr>
        <w:t>17.88%</w:t>
      </w:r>
      <w:r>
        <w:rPr>
          <w:rFonts w:hint="eastAsia"/>
        </w:rPr>
        <w:t>）和“家庭影响”（</w:t>
      </w:r>
      <w:r>
        <w:rPr>
          <w:rFonts w:hint="eastAsia"/>
        </w:rPr>
        <w:t>15.19%</w:t>
      </w:r>
      <w:r>
        <w:rPr>
          <w:rFonts w:hint="eastAsia"/>
        </w:rPr>
        <w:t>）等；而毕业生未选择留赣就业的主要原因是“城市发展”（</w:t>
      </w:r>
      <w:r>
        <w:rPr>
          <w:rFonts w:hint="eastAsia"/>
        </w:rPr>
        <w:t>17.39%</w:t>
      </w:r>
      <w:r>
        <w:rPr>
          <w:rFonts w:hint="eastAsia"/>
        </w:rPr>
        <w:t>）、“平均薪资待遇”（</w:t>
      </w:r>
      <w:r>
        <w:rPr>
          <w:rFonts w:hint="eastAsia"/>
        </w:rPr>
        <w:t>16.76%</w:t>
      </w:r>
      <w:r>
        <w:rPr>
          <w:rFonts w:hint="eastAsia"/>
        </w:rPr>
        <w:t>）</w:t>
      </w:r>
      <w:r>
        <w:rPr>
          <w:rFonts w:hint="eastAsia"/>
        </w:rPr>
        <w:t>以及“岗位选择和就业机会”（</w:t>
      </w:r>
      <w:r>
        <w:rPr>
          <w:rFonts w:hint="eastAsia"/>
        </w:rPr>
        <w:t>14.41%</w:t>
      </w:r>
      <w:r>
        <w:rPr>
          <w:rFonts w:hint="eastAsia"/>
        </w:rPr>
        <w:t>）。</w:t>
      </w:r>
    </w:p>
    <w:p w:rsidR="00603F28" w:rsidRDefault="00041260">
      <w:pPr>
        <w:keepNext/>
      </w:pPr>
      <w:r>
        <w:rPr>
          <w:noProof/>
        </w:rPr>
        <w:drawing>
          <wp:inline distT="0" distB="0" distL="0" distR="0">
            <wp:extent cx="5274310" cy="3295015"/>
            <wp:effectExtent l="0" t="0" r="2540" b="635"/>
            <wp:docPr id="89" name="图表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30</w:t>
      </w:r>
      <w:r>
        <w:fldChar w:fldCharType="end"/>
      </w:r>
      <w:r>
        <w:t xml:space="preserve">  2019</w:t>
      </w:r>
      <w:r>
        <w:rPr>
          <w:rFonts w:hint="eastAsia"/>
        </w:rPr>
        <w:t>届本科毕业生留赣影响因素</w:t>
      </w:r>
    </w:p>
    <w:p w:rsidR="00603F28" w:rsidRDefault="00041260">
      <w:pPr>
        <w:pStyle w:val="3"/>
        <w:spacing w:before="120"/>
      </w:pPr>
      <w:bookmarkStart w:id="109" w:name="_Toc27642649"/>
      <w:r>
        <w:t>（</w:t>
      </w:r>
      <w:r>
        <w:rPr>
          <w:rFonts w:hint="eastAsia"/>
        </w:rPr>
        <w:t>三</w:t>
      </w:r>
      <w:r>
        <w:t>）</w:t>
      </w:r>
      <w:r>
        <w:rPr>
          <w:rFonts w:hint="eastAsia"/>
        </w:rPr>
        <w:t>留赣就业意愿</w:t>
      </w:r>
      <w:bookmarkEnd w:id="109"/>
    </w:p>
    <w:p w:rsidR="00603F28" w:rsidRDefault="00041260">
      <w:pPr>
        <w:ind w:firstLineChars="200" w:firstLine="420"/>
      </w:pPr>
      <w:r>
        <w:t>2019</w:t>
      </w:r>
      <w:r>
        <w:rPr>
          <w:rFonts w:hint="eastAsia"/>
        </w:rPr>
        <w:t>届本科毕业生中，</w:t>
      </w:r>
      <w:r>
        <w:rPr>
          <w:rFonts w:hint="eastAsia"/>
        </w:rPr>
        <w:t>49.74%</w:t>
      </w:r>
      <w:r>
        <w:rPr>
          <w:rFonts w:hint="eastAsia"/>
        </w:rPr>
        <w:t>的毕业生有未来留赣就业的意愿。</w:t>
      </w:r>
    </w:p>
    <w:p w:rsidR="00603F28" w:rsidRDefault="00041260">
      <w:pPr>
        <w:keepNext/>
        <w:jc w:val="center"/>
      </w:pPr>
      <w:r>
        <w:rPr>
          <w:noProof/>
        </w:rPr>
        <w:drawing>
          <wp:inline distT="0" distB="0" distL="0" distR="0">
            <wp:extent cx="4943475" cy="2743200"/>
            <wp:effectExtent l="0" t="0" r="0" b="0"/>
            <wp:docPr id="62" name="图表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31</w:t>
      </w:r>
      <w:r>
        <w:fldChar w:fldCharType="end"/>
      </w:r>
      <w:r>
        <w:t xml:space="preserve">  2019</w:t>
      </w:r>
      <w:r>
        <w:rPr>
          <w:rFonts w:hint="eastAsia"/>
        </w:rPr>
        <w:t>届本科毕业生留赣就业意愿</w:t>
      </w:r>
    </w:p>
    <w:p w:rsidR="00603F28" w:rsidRDefault="00041260">
      <w:pPr>
        <w:pStyle w:val="3"/>
        <w:spacing w:before="120"/>
      </w:pPr>
      <w:bookmarkStart w:id="110" w:name="_Toc27642650"/>
      <w:r>
        <w:t>（</w:t>
      </w:r>
      <w:r>
        <w:rPr>
          <w:rFonts w:hint="eastAsia"/>
        </w:rPr>
        <w:t>四</w:t>
      </w:r>
      <w:r>
        <w:t>）</w:t>
      </w:r>
      <w:r>
        <w:rPr>
          <w:rFonts w:hint="eastAsia"/>
        </w:rPr>
        <w:t>留赣所需政策支持</w:t>
      </w:r>
      <w:bookmarkEnd w:id="110"/>
    </w:p>
    <w:p w:rsidR="00603F28" w:rsidRDefault="00041260">
      <w:pPr>
        <w:ind w:firstLineChars="200" w:firstLine="420"/>
      </w:pPr>
      <w:r>
        <w:t>2019</w:t>
      </w:r>
      <w:r>
        <w:rPr>
          <w:rFonts w:hint="eastAsia"/>
        </w:rPr>
        <w:t>届本科毕业生认为，若选择留赣就业，主要需要“人才引进政策”（</w:t>
      </w:r>
      <w:r>
        <w:rPr>
          <w:rFonts w:hint="eastAsia"/>
        </w:rPr>
        <w:t>29.88%</w:t>
      </w:r>
      <w:r>
        <w:rPr>
          <w:rFonts w:hint="eastAsia"/>
        </w:rPr>
        <w:t>）、“就业优惠政策”（</w:t>
      </w:r>
      <w:r>
        <w:rPr>
          <w:rFonts w:hint="eastAsia"/>
        </w:rPr>
        <w:t>25.59%</w:t>
      </w:r>
      <w:r>
        <w:rPr>
          <w:rFonts w:hint="eastAsia"/>
        </w:rPr>
        <w:t>）等政策支持。</w:t>
      </w:r>
    </w:p>
    <w:p w:rsidR="00603F28" w:rsidRDefault="00041260">
      <w:pPr>
        <w:keepNext/>
        <w:jc w:val="center"/>
      </w:pPr>
      <w:r>
        <w:rPr>
          <w:noProof/>
        </w:rPr>
        <w:drawing>
          <wp:inline distT="0" distB="0" distL="0" distR="0">
            <wp:extent cx="5274310" cy="2613660"/>
            <wp:effectExtent l="0" t="0" r="2540" b="0"/>
            <wp:docPr id="92" name="图表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603F28" w:rsidRDefault="00041260">
      <w:pPr>
        <w:pStyle w:val="a3"/>
      </w:pPr>
      <w:r>
        <w:rPr>
          <w:rFonts w:hint="eastAsia"/>
        </w:rPr>
        <w:t>图</w:t>
      </w:r>
      <w:r>
        <w:rPr>
          <w:rFonts w:hint="eastAsia"/>
        </w:rPr>
        <w:t>4-</w:t>
      </w:r>
      <w:r>
        <w:fldChar w:fldCharType="begin"/>
      </w:r>
      <w:r>
        <w:rPr>
          <w:rFonts w:hint="eastAsia"/>
        </w:rPr>
        <w:instrText xml:space="preserve">SEQ </w:instrText>
      </w:r>
      <w:r>
        <w:rPr>
          <w:rFonts w:hint="eastAsia"/>
        </w:rPr>
        <w:instrText>图</w:instrText>
      </w:r>
      <w:r>
        <w:rPr>
          <w:rFonts w:hint="eastAsia"/>
        </w:rPr>
        <w:instrText>4- \* ARABIC</w:instrText>
      </w:r>
      <w:r>
        <w:fldChar w:fldCharType="separate"/>
      </w:r>
      <w:r>
        <w:t>32</w:t>
      </w:r>
      <w:r>
        <w:fldChar w:fldCharType="end"/>
      </w:r>
      <w:r>
        <w:t xml:space="preserve">  2019</w:t>
      </w:r>
      <w:r>
        <w:rPr>
          <w:rFonts w:hint="eastAsia"/>
        </w:rPr>
        <w:t>届本科毕业生留赣所需政策支持</w:t>
      </w:r>
    </w:p>
    <w:p w:rsidR="00603F28" w:rsidRDefault="00041260">
      <w:pPr>
        <w:widowControl/>
        <w:spacing w:line="240" w:lineRule="auto"/>
        <w:jc w:val="left"/>
        <w:rPr>
          <w:rFonts w:ascii="宋体" w:hAnsi="宋体"/>
        </w:rPr>
      </w:pPr>
      <w:r>
        <w:rPr>
          <w:rFonts w:ascii="宋体" w:hAnsi="宋体"/>
        </w:rPr>
        <w:br w:type="page"/>
      </w:r>
    </w:p>
    <w:p w:rsidR="00603F28" w:rsidRDefault="00041260">
      <w:pPr>
        <w:pStyle w:val="1"/>
        <w:rPr>
          <w:rFonts w:ascii="宋体" w:hAnsi="宋体"/>
        </w:rPr>
      </w:pPr>
      <w:bookmarkStart w:id="111" w:name="_Toc27642651"/>
      <w:r>
        <w:rPr>
          <w:rFonts w:ascii="宋体" w:hAnsi="宋体"/>
        </w:rPr>
        <w:t>第</w:t>
      </w:r>
      <w:r>
        <w:rPr>
          <w:rFonts w:ascii="宋体" w:hAnsi="宋体" w:hint="eastAsia"/>
        </w:rPr>
        <w:t>五章</w:t>
      </w:r>
      <w:r>
        <w:rPr>
          <w:rFonts w:ascii="宋体" w:hAnsi="宋体"/>
        </w:rPr>
        <w:t xml:space="preserve"> </w:t>
      </w:r>
      <w:r>
        <w:rPr>
          <w:rFonts w:ascii="time" w:hAnsi="time" w:hint="eastAsia"/>
        </w:rPr>
        <w:t>2019</w:t>
      </w:r>
      <w:r>
        <w:rPr>
          <w:rFonts w:ascii="time" w:hAnsi="time" w:hint="eastAsia"/>
        </w:rPr>
        <w:t>届毕业生及用人单位教育教学反馈</w:t>
      </w:r>
      <w:bookmarkEnd w:id="111"/>
    </w:p>
    <w:p w:rsidR="00603F28" w:rsidRDefault="00041260">
      <w:pPr>
        <w:ind w:firstLineChars="200" w:firstLine="420"/>
      </w:pPr>
      <w:r>
        <w:rPr>
          <w:rFonts w:hint="eastAsia"/>
        </w:rPr>
        <w:t>本部分数据来源于“云就业平台”的“江西财经大学</w:t>
      </w:r>
      <w:r>
        <w:rPr>
          <w:rFonts w:hint="eastAsia"/>
        </w:rPr>
        <w:t>2019</w:t>
      </w:r>
      <w:r>
        <w:rPr>
          <w:rFonts w:hint="eastAsia"/>
        </w:rPr>
        <w:t>届毕业生就业质量调研问卷”和“江西财经大学用人单位</w:t>
      </w:r>
      <w:r>
        <w:rPr>
          <w:rFonts w:hint="eastAsia"/>
        </w:rPr>
        <w:t>2019</w:t>
      </w:r>
      <w:r>
        <w:rPr>
          <w:rFonts w:hint="eastAsia"/>
        </w:rPr>
        <w:t>年调研问卷”。</w:t>
      </w:r>
      <w:r>
        <w:rPr>
          <w:rFonts w:hint="eastAsia"/>
        </w:rPr>
        <w:t>2019</w:t>
      </w:r>
      <w:r>
        <w:rPr>
          <w:rFonts w:hint="eastAsia"/>
        </w:rPr>
        <w:t>届毕业生及用人单位教育教学反馈主要从毕业生对母校评价和用人单位评价两方面展开。</w:t>
      </w:r>
    </w:p>
    <w:p w:rsidR="00603F28" w:rsidRDefault="00041260">
      <w:pPr>
        <w:pStyle w:val="2"/>
      </w:pPr>
      <w:bookmarkStart w:id="112" w:name="_Toc27642652"/>
      <w:r>
        <w:rPr>
          <w:rFonts w:hint="eastAsia"/>
        </w:rPr>
        <w:t>一、毕业生对母校评价</w:t>
      </w:r>
      <w:bookmarkEnd w:id="112"/>
    </w:p>
    <w:p w:rsidR="00603F28" w:rsidRDefault="00041260">
      <w:pPr>
        <w:ind w:firstLineChars="200" w:firstLine="420"/>
      </w:pPr>
      <w:r>
        <w:rPr>
          <w:rFonts w:hint="eastAsia"/>
        </w:rPr>
        <w:t>2</w:t>
      </w:r>
      <w:r>
        <w:t>019</w:t>
      </w:r>
      <w:r>
        <w:rPr>
          <w:rFonts w:hint="eastAsia"/>
        </w:rPr>
        <w:t>届毕业生对母校的评价主要从毕业生母校总体评价、对人才培养评价、对专业课程设置评价、对教师教学评价、对实践教学评价、对就业管理和就业指导服务评价和母校培养对毕业生综合素质提升七个方面展开。</w:t>
      </w:r>
    </w:p>
    <w:p w:rsidR="00603F28" w:rsidRDefault="00041260">
      <w:pPr>
        <w:pStyle w:val="3"/>
      </w:pPr>
      <w:bookmarkStart w:id="113" w:name="_Toc27642653"/>
      <w:r>
        <w:rPr>
          <w:rFonts w:hint="eastAsia"/>
        </w:rPr>
        <w:t>（一）毕业生母校总体评价</w:t>
      </w:r>
      <w:bookmarkEnd w:id="113"/>
    </w:p>
    <w:p w:rsidR="00603F28" w:rsidRDefault="00041260">
      <w:pPr>
        <w:pStyle w:val="4"/>
        <w:ind w:firstLineChars="200" w:firstLine="422"/>
      </w:pPr>
      <w:r>
        <w:t>1.</w:t>
      </w:r>
      <w:r>
        <w:rPr>
          <w:rFonts w:hint="eastAsia"/>
        </w:rPr>
        <w:t>母校满意度</w:t>
      </w:r>
    </w:p>
    <w:p w:rsidR="00603F28" w:rsidRDefault="00041260">
      <w:pPr>
        <w:ind w:firstLineChars="200" w:firstLine="420"/>
      </w:pPr>
      <w:r>
        <w:rPr>
          <w:rFonts w:hint="eastAsia"/>
        </w:rPr>
        <w:t>2</w:t>
      </w:r>
      <w:r>
        <w:t>0</w:t>
      </w:r>
      <w:r>
        <w:rPr>
          <w:rFonts w:hint="eastAsia"/>
        </w:rPr>
        <w:t>19</w:t>
      </w:r>
      <w:r>
        <w:rPr>
          <w:rFonts w:hint="eastAsia"/>
        </w:rPr>
        <w:t>届本科毕业生对母校的总体满意度</w:t>
      </w:r>
      <w:r>
        <w:rPr>
          <w:rFonts w:hint="eastAsia"/>
        </w:rPr>
        <w:t>为</w:t>
      </w:r>
      <w:r>
        <w:t>96.17</w:t>
      </w:r>
      <w:r>
        <w:rPr>
          <w:rFonts w:hint="eastAsia"/>
        </w:rPr>
        <w:t>%</w:t>
      </w:r>
      <w:r>
        <w:rPr>
          <w:rFonts w:hint="eastAsia"/>
        </w:rPr>
        <w:t>，对母校的认可度和满意度较高。</w:t>
      </w:r>
    </w:p>
    <w:p w:rsidR="00603F28" w:rsidRDefault="00041260">
      <w:pPr>
        <w:ind w:firstLineChars="200" w:firstLine="420"/>
      </w:pPr>
      <w:r>
        <w:rPr>
          <w:rFonts w:hint="eastAsia"/>
        </w:rPr>
        <w:t>从专业类别来看，毕业生对母校总体满意度均在</w:t>
      </w:r>
      <w:r>
        <w:rPr>
          <w:rFonts w:hint="eastAsia"/>
        </w:rPr>
        <w:t>90%</w:t>
      </w:r>
      <w:r>
        <w:rPr>
          <w:rFonts w:hint="eastAsia"/>
        </w:rPr>
        <w:t>以上。其中，财政学类等</w:t>
      </w:r>
      <w:r>
        <w:rPr>
          <w:rFonts w:hint="eastAsia"/>
        </w:rPr>
        <w:t>8</w:t>
      </w:r>
      <w:r>
        <w:rPr>
          <w:rFonts w:hint="eastAsia"/>
        </w:rPr>
        <w:t>个专业类别的总体满意度为</w:t>
      </w:r>
      <w:r>
        <w:rPr>
          <w:rFonts w:hint="eastAsia"/>
        </w:rPr>
        <w:t>100%</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w:t>
      </w:r>
      <w:r>
        <w:fldChar w:fldCharType="end"/>
      </w:r>
      <w:r>
        <w:t xml:space="preserve">  2019</w:t>
      </w:r>
      <w:r>
        <w:t>届</w:t>
      </w:r>
      <w:r>
        <w:rPr>
          <w:rFonts w:hint="eastAsia"/>
        </w:rPr>
        <w:t>各专业类别</w:t>
      </w:r>
      <w:r>
        <w:t>本科毕业</w:t>
      </w:r>
      <w:r>
        <w:rPr>
          <w:rFonts w:hint="eastAsia"/>
        </w:rPr>
        <w:t>生对母校总体满意度</w:t>
      </w:r>
    </w:p>
    <w:tbl>
      <w:tblPr>
        <w:tblW w:w="5000" w:type="pct"/>
        <w:tblLook w:val="04A0" w:firstRow="1" w:lastRow="0" w:firstColumn="1" w:lastColumn="0" w:noHBand="0" w:noVBand="1"/>
      </w:tblPr>
      <w:tblGrid>
        <w:gridCol w:w="1626"/>
        <w:gridCol w:w="3556"/>
        <w:gridCol w:w="3114"/>
      </w:tblGrid>
      <w:tr w:rsidR="00603F28">
        <w:trPr>
          <w:trHeight w:val="300"/>
          <w:tblHeader/>
        </w:trPr>
        <w:tc>
          <w:tcPr>
            <w:tcW w:w="980"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214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二级学科分类</w:t>
            </w:r>
          </w:p>
        </w:tc>
        <w:tc>
          <w:tcPr>
            <w:tcW w:w="187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母校总体满意度</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财政学类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电子商务类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旅游管理类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社会学类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统计学类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新闻传播学类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音乐与舞蹈学类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中国语言文学类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经济与贸易类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98.74%</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工商管理类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98.48%</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98.05%</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设计学类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97.22%</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法学类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97.20%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管理科学与工程类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96.61%</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96.55%</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体育学类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96.15%</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电子信息类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95.65%</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外国语言文学类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95.35%</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计算机类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95.00%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数学类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94.44%</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会计学类</w:t>
            </w:r>
            <w:r>
              <w:rPr>
                <w:rFonts w:eastAsia="黑体" w:cs="Times New Roman"/>
                <w:kern w:val="0"/>
                <w:sz w:val="18"/>
                <w:szCs w:val="18"/>
                <w:vertAlign w:val="superscript"/>
              </w:rPr>
              <w:t>[</w:t>
            </w:r>
            <w:r>
              <w:rPr>
                <w:rStyle w:val="afc"/>
                <w:rFonts w:eastAsia="黑体"/>
                <w:kern w:val="0"/>
                <w:sz w:val="18"/>
                <w:szCs w:val="18"/>
              </w:rPr>
              <w:footnoteReference w:id="10"/>
            </w:r>
            <w:r>
              <w:rPr>
                <w:rFonts w:eastAsia="黑体" w:cs="Times New Roman"/>
                <w:kern w:val="0"/>
                <w:sz w:val="18"/>
                <w:szCs w:val="18"/>
                <w:vertAlign w:val="superscript"/>
              </w:rPr>
              <w:t>]</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93.98%</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物流管理与工程类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93.75%</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93.69%</w:t>
            </w:r>
          </w:p>
        </w:tc>
      </w:tr>
    </w:tbl>
    <w:p w:rsidR="00603F28" w:rsidRDefault="00041260">
      <w:pPr>
        <w:pStyle w:val="4"/>
        <w:ind w:firstLineChars="200" w:firstLine="422"/>
      </w:pPr>
      <w:r>
        <w:rPr>
          <w:rFonts w:hint="eastAsia"/>
        </w:rPr>
        <w:t>2</w:t>
      </w:r>
      <w:r>
        <w:t>.</w:t>
      </w:r>
      <w:r>
        <w:rPr>
          <w:rFonts w:hint="eastAsia"/>
        </w:rPr>
        <w:t>母校满意度影响因素</w:t>
      </w:r>
    </w:p>
    <w:p w:rsidR="00603F28" w:rsidRDefault="00041260">
      <w:pPr>
        <w:ind w:firstLineChars="200" w:firstLine="420"/>
      </w:pPr>
      <w:r>
        <w:rPr>
          <w:rFonts w:hint="eastAsia"/>
        </w:rPr>
        <w:t>2019</w:t>
      </w:r>
      <w:r>
        <w:rPr>
          <w:rFonts w:hint="eastAsia"/>
        </w:rPr>
        <w:t>届本科毕业生认为影响对母校满意度的主要因素是“所学知识</w:t>
      </w:r>
      <w:r>
        <w:rPr>
          <w:rFonts w:hint="eastAsia"/>
        </w:rPr>
        <w:t>/</w:t>
      </w:r>
      <w:r>
        <w:rPr>
          <w:rFonts w:hint="eastAsia"/>
        </w:rPr>
        <w:t>能力满足工作实际需求的情况”（</w:t>
      </w:r>
      <w:r>
        <w:rPr>
          <w:rFonts w:hint="eastAsia"/>
        </w:rPr>
        <w:t>19.04%</w:t>
      </w:r>
      <w:r>
        <w:rPr>
          <w:rFonts w:hint="eastAsia"/>
        </w:rPr>
        <w:t>）、“校风学风”（</w:t>
      </w:r>
      <w:r>
        <w:rPr>
          <w:rFonts w:hint="eastAsia"/>
        </w:rPr>
        <w:t>18.82%</w:t>
      </w:r>
      <w:r>
        <w:rPr>
          <w:rFonts w:hint="eastAsia"/>
        </w:rPr>
        <w:t>）等。</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2</w:t>
      </w:r>
      <w:r>
        <w:fldChar w:fldCharType="end"/>
      </w:r>
      <w:r>
        <w:t xml:space="preserve">  2019</w:t>
      </w:r>
      <w:r>
        <w:t>届本科毕业生认为</w:t>
      </w:r>
      <w:r>
        <w:rPr>
          <w:rFonts w:hint="eastAsia"/>
        </w:rPr>
        <w:t>母校满意度影响</w:t>
      </w:r>
      <w:r>
        <w:t>因素</w:t>
      </w:r>
    </w:p>
    <w:tbl>
      <w:tblPr>
        <w:tblW w:w="5000" w:type="pct"/>
        <w:tblLook w:val="04A0" w:firstRow="1" w:lastRow="0" w:firstColumn="1" w:lastColumn="0" w:noHBand="0" w:noVBand="1"/>
      </w:tblPr>
      <w:tblGrid>
        <w:gridCol w:w="982"/>
        <w:gridCol w:w="5756"/>
        <w:gridCol w:w="1558"/>
      </w:tblGrid>
      <w:tr w:rsidR="00603F28">
        <w:trPr>
          <w:trHeight w:val="300"/>
          <w:tblHeader/>
        </w:trPr>
        <w:tc>
          <w:tcPr>
            <w:tcW w:w="592"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3469"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母校满意度影响因素</w:t>
            </w:r>
          </w:p>
        </w:tc>
        <w:tc>
          <w:tcPr>
            <w:tcW w:w="939"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所学知识</w:t>
            </w:r>
            <w:r>
              <w:rPr>
                <w:rFonts w:ascii="黑体" w:eastAsia="黑体" w:hAnsi="黑体" w:cs="Calibri" w:hint="eastAsia"/>
                <w:kern w:val="0"/>
                <w:sz w:val="18"/>
                <w:szCs w:val="18"/>
              </w:rPr>
              <w:t>/</w:t>
            </w:r>
            <w:r>
              <w:rPr>
                <w:rFonts w:ascii="黑体" w:eastAsia="黑体" w:hAnsi="黑体" w:cs="Calibri" w:hint="eastAsia"/>
                <w:kern w:val="0"/>
                <w:sz w:val="18"/>
                <w:szCs w:val="18"/>
              </w:rPr>
              <w:t>能力满足工作实际需求的情况</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19.04%</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校风学风</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18.82%</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学校管理人员的办事效率和态度</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12.26%</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图书与教学设施</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11.00%</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师生课外交流</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8.84%</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本专业辅导员的办事效率和态度</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8.11%</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学校的规章制度</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6.63%</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食堂服务与饭菜质量</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5.59%</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校园偏僻交通便利情况</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4.96%</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上网的便利性</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2.08%</w:t>
            </w:r>
          </w:p>
        </w:tc>
      </w:tr>
      <w:tr w:rsidR="00603F28">
        <w:trPr>
          <w:trHeight w:val="300"/>
        </w:trPr>
        <w:tc>
          <w:tcPr>
            <w:tcW w:w="59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34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文娱体育设施</w:t>
            </w:r>
          </w:p>
        </w:tc>
        <w:tc>
          <w:tcPr>
            <w:tcW w:w="93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1.53%</w:t>
            </w:r>
          </w:p>
        </w:tc>
      </w:tr>
      <w:tr w:rsidR="00603F28">
        <w:trPr>
          <w:trHeight w:val="300"/>
        </w:trPr>
        <w:tc>
          <w:tcPr>
            <w:tcW w:w="59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34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其他</w:t>
            </w:r>
          </w:p>
        </w:tc>
        <w:tc>
          <w:tcPr>
            <w:tcW w:w="93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1.14%</w:t>
            </w:r>
          </w:p>
        </w:tc>
      </w:tr>
    </w:tbl>
    <w:p w:rsidR="00603F28" w:rsidRDefault="00041260">
      <w:pPr>
        <w:pStyle w:val="3"/>
      </w:pPr>
      <w:bookmarkStart w:id="114" w:name="_Toc27642654"/>
      <w:r>
        <w:rPr>
          <w:rFonts w:hint="eastAsia"/>
        </w:rPr>
        <w:t>（二）毕业生对人才培养评价</w:t>
      </w:r>
      <w:bookmarkEnd w:id="114"/>
    </w:p>
    <w:p w:rsidR="00603F28" w:rsidRDefault="00041260">
      <w:pPr>
        <w:pStyle w:val="4"/>
        <w:ind w:firstLineChars="200" w:firstLine="422"/>
      </w:pPr>
      <w:r>
        <w:t>1.</w:t>
      </w:r>
      <w:r>
        <w:rPr>
          <w:rFonts w:hint="eastAsia"/>
        </w:rPr>
        <w:t>人才培养满意度</w:t>
      </w:r>
    </w:p>
    <w:p w:rsidR="00603F28" w:rsidRDefault="00041260">
      <w:pPr>
        <w:ind w:firstLineChars="200" w:firstLine="420"/>
      </w:pPr>
      <w:r>
        <w:rPr>
          <w:rFonts w:hint="eastAsia"/>
        </w:rPr>
        <w:t>2019</w:t>
      </w:r>
      <w:r>
        <w:rPr>
          <w:rFonts w:hint="eastAsia"/>
        </w:rPr>
        <w:t>届本科毕业生对母校人才培养的满意度为</w:t>
      </w:r>
      <w:r>
        <w:rPr>
          <w:rFonts w:hint="eastAsia"/>
        </w:rPr>
        <w:t>92.</w:t>
      </w:r>
      <w:r>
        <w:t>34</w:t>
      </w:r>
      <w:r>
        <w:rPr>
          <w:rFonts w:hint="eastAsia"/>
        </w:rPr>
        <w:t>%</w:t>
      </w:r>
      <w:r>
        <w:rPr>
          <w:rFonts w:hint="eastAsia"/>
        </w:rPr>
        <w:t>，学校人才培养的成效显著，毕业生对母校培养的认可度较高。</w:t>
      </w:r>
    </w:p>
    <w:p w:rsidR="00603F28" w:rsidRDefault="00041260">
      <w:pPr>
        <w:ind w:firstLineChars="200" w:firstLine="420"/>
      </w:pPr>
      <w:r>
        <w:rPr>
          <w:rFonts w:hint="eastAsia"/>
        </w:rPr>
        <w:t>从分专业类别来看，财政学类等</w:t>
      </w:r>
      <w:r>
        <w:t>19</w:t>
      </w:r>
      <w:r>
        <w:rPr>
          <w:rFonts w:hint="eastAsia"/>
        </w:rPr>
        <w:t>个专业类别的人才培养满意度在</w:t>
      </w:r>
      <w:r>
        <w:rPr>
          <w:rFonts w:hint="eastAsia"/>
        </w:rPr>
        <w:t>90%</w:t>
      </w:r>
      <w:r>
        <w:rPr>
          <w:rFonts w:hint="eastAsia"/>
        </w:rPr>
        <w:t>以上。其中，金融学类和会计学类专业对母校人才培养满意度分别为</w:t>
      </w:r>
      <w:r>
        <w:rPr>
          <w:rFonts w:hint="eastAsia"/>
        </w:rPr>
        <w:t>92.26%</w:t>
      </w:r>
      <w:r>
        <w:rPr>
          <w:rFonts w:hint="eastAsia"/>
        </w:rPr>
        <w:t>和</w:t>
      </w:r>
      <w:r>
        <w:rPr>
          <w:rFonts w:hint="eastAsia"/>
        </w:rPr>
        <w:t>93.06%</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3</w:t>
      </w:r>
      <w:r>
        <w:fldChar w:fldCharType="end"/>
      </w:r>
      <w:r>
        <w:t xml:space="preserve">  2019</w:t>
      </w:r>
      <w:r>
        <w:rPr>
          <w:rFonts w:hint="eastAsia"/>
        </w:rPr>
        <w:t>届各专业类别本科毕业生对母校人才培养满意度</w:t>
      </w:r>
    </w:p>
    <w:tbl>
      <w:tblPr>
        <w:tblW w:w="5000" w:type="pct"/>
        <w:tblLook w:val="04A0" w:firstRow="1" w:lastRow="0" w:firstColumn="1" w:lastColumn="0" w:noHBand="0" w:noVBand="1"/>
      </w:tblPr>
      <w:tblGrid>
        <w:gridCol w:w="1626"/>
        <w:gridCol w:w="3556"/>
        <w:gridCol w:w="3114"/>
      </w:tblGrid>
      <w:tr w:rsidR="00603F28">
        <w:trPr>
          <w:trHeight w:val="300"/>
          <w:tblHeader/>
        </w:trPr>
        <w:tc>
          <w:tcPr>
            <w:tcW w:w="980"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序号</w:t>
            </w:r>
          </w:p>
        </w:tc>
        <w:tc>
          <w:tcPr>
            <w:tcW w:w="214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二级学科分类</w:t>
            </w:r>
          </w:p>
        </w:tc>
        <w:tc>
          <w:tcPr>
            <w:tcW w:w="187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人才培养满意度</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旅游管理类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数学类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体育学类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统计学类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5</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音乐与舞蹈学类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6</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中国语言文学类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100.00%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7</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经济与贸易类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98.11%</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公共管理类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96.55%</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经济学类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94.16%</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10</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会计学类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93.06%</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社会学类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92.86%</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金融学类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92.26%</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财政学类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91.51%</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14</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电子信息类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91.30%</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15</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工商管理类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91.25%</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16</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管理科学与工程类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90.68%</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17</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法学类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90.65%</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18</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物流管理与工程类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90.63%</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19</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电子商务类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90.20%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20</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设计学类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88.89%</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21</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计算机类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87.50%</w:t>
            </w:r>
          </w:p>
        </w:tc>
      </w:tr>
      <w:tr w:rsidR="00603F28">
        <w:trPr>
          <w:trHeight w:val="300"/>
        </w:trPr>
        <w:tc>
          <w:tcPr>
            <w:tcW w:w="980"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22</w:t>
            </w:r>
          </w:p>
        </w:tc>
        <w:tc>
          <w:tcPr>
            <w:tcW w:w="214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外国语言文学类</w:t>
            </w:r>
          </w:p>
        </w:tc>
        <w:tc>
          <w:tcPr>
            <w:tcW w:w="187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83.72%</w:t>
            </w:r>
          </w:p>
        </w:tc>
      </w:tr>
      <w:tr w:rsidR="00603F28">
        <w:trPr>
          <w:trHeight w:val="300"/>
        </w:trPr>
        <w:tc>
          <w:tcPr>
            <w:tcW w:w="980"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23</w:t>
            </w:r>
          </w:p>
        </w:tc>
        <w:tc>
          <w:tcPr>
            <w:tcW w:w="214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新闻传播学类</w:t>
            </w:r>
          </w:p>
        </w:tc>
        <w:tc>
          <w:tcPr>
            <w:tcW w:w="187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81.25%</w:t>
            </w:r>
          </w:p>
        </w:tc>
      </w:tr>
    </w:tbl>
    <w:p w:rsidR="00603F28" w:rsidRDefault="00041260">
      <w:pPr>
        <w:pStyle w:val="4"/>
        <w:ind w:firstLineChars="200" w:firstLine="422"/>
      </w:pPr>
      <w:r>
        <w:rPr>
          <w:rFonts w:hint="eastAsia"/>
        </w:rPr>
        <w:t>2</w:t>
      </w:r>
      <w:r>
        <w:t>.</w:t>
      </w:r>
      <w:r>
        <w:rPr>
          <w:rFonts w:hint="eastAsia"/>
        </w:rPr>
        <w:t>毕业生对母校人才培养的建议</w:t>
      </w:r>
    </w:p>
    <w:p w:rsidR="00603F28" w:rsidRDefault="00041260">
      <w:pPr>
        <w:ind w:firstLineChars="200" w:firstLine="420"/>
      </w:pPr>
      <w:r>
        <w:rPr>
          <w:rFonts w:hint="eastAsia"/>
        </w:rPr>
        <w:t>2019</w:t>
      </w:r>
      <w:r>
        <w:rPr>
          <w:rFonts w:hint="eastAsia"/>
        </w:rPr>
        <w:t>届本科毕业生对母校人才培养建议主要集中在“加强社会实践课程比重”（</w:t>
      </w:r>
      <w:r>
        <w:rPr>
          <w:rFonts w:hint="eastAsia"/>
        </w:rPr>
        <w:t>17.26%</w:t>
      </w:r>
      <w:r>
        <w:rPr>
          <w:rFonts w:hint="eastAsia"/>
        </w:rPr>
        <w:t>）、“增加与社会各界互动交流的机会”（</w:t>
      </w:r>
      <w:r>
        <w:rPr>
          <w:rFonts w:hint="eastAsia"/>
        </w:rPr>
        <w:t>16.36%</w:t>
      </w:r>
      <w:r>
        <w:rPr>
          <w:rFonts w:hint="eastAsia"/>
        </w:rPr>
        <w:t>）和“提供到政府、企业、社会组织等学习实践机会”（</w:t>
      </w:r>
      <w:r>
        <w:rPr>
          <w:rFonts w:hint="eastAsia"/>
        </w:rPr>
        <w:t>13.86%</w:t>
      </w:r>
      <w:r>
        <w:rPr>
          <w:rFonts w:hint="eastAsia"/>
        </w:rPr>
        <w:t>）等。</w:t>
      </w:r>
    </w:p>
    <w:p w:rsidR="00603F28" w:rsidRDefault="00041260">
      <w:pPr>
        <w:pStyle w:val="a3"/>
        <w:keepNext/>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4</w:t>
      </w:r>
      <w:r>
        <w:fldChar w:fldCharType="end"/>
      </w:r>
      <w:r>
        <w:t xml:space="preserve">  2019</w:t>
      </w:r>
      <w:r>
        <w:rPr>
          <w:rFonts w:hint="eastAsia"/>
        </w:rPr>
        <w:t>届本科毕业生对母校人才培养建议</w:t>
      </w:r>
    </w:p>
    <w:tbl>
      <w:tblPr>
        <w:tblW w:w="5000" w:type="pct"/>
        <w:tblLook w:val="04A0" w:firstRow="1" w:lastRow="0" w:firstColumn="1" w:lastColumn="0" w:noHBand="0" w:noVBand="1"/>
      </w:tblPr>
      <w:tblGrid>
        <w:gridCol w:w="6990"/>
        <w:gridCol w:w="1306"/>
      </w:tblGrid>
      <w:tr w:rsidR="00603F28">
        <w:trPr>
          <w:trHeight w:val="300"/>
          <w:tblHeader/>
        </w:trPr>
        <w:tc>
          <w:tcPr>
            <w:tcW w:w="4213"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人才培养建议</w:t>
            </w:r>
          </w:p>
        </w:tc>
        <w:tc>
          <w:tcPr>
            <w:tcW w:w="78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加强社会实践课程的比重</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17.26%</w:t>
            </w:r>
          </w:p>
        </w:tc>
      </w:tr>
      <w:tr w:rsidR="00603F28">
        <w:trPr>
          <w:trHeight w:val="300"/>
        </w:trPr>
        <w:tc>
          <w:tcPr>
            <w:tcW w:w="42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增加与社会各界互动交流的机会</w:t>
            </w:r>
          </w:p>
        </w:tc>
        <w:tc>
          <w:tcPr>
            <w:tcW w:w="7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16.36%</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提供到政府、企业、社会组织等学习实践机会</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13.86%</w:t>
            </w:r>
          </w:p>
        </w:tc>
      </w:tr>
      <w:tr w:rsidR="00603F28">
        <w:trPr>
          <w:trHeight w:val="300"/>
        </w:trPr>
        <w:tc>
          <w:tcPr>
            <w:tcW w:w="42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学校、企业、社会联合培育</w:t>
            </w:r>
          </w:p>
        </w:tc>
        <w:tc>
          <w:tcPr>
            <w:tcW w:w="7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11.60%</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吸引更多具有社会工作经历背景的教师到校授课</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11.37%</w:t>
            </w:r>
          </w:p>
        </w:tc>
      </w:tr>
      <w:tr w:rsidR="00603F28">
        <w:trPr>
          <w:trHeight w:val="300"/>
        </w:trPr>
        <w:tc>
          <w:tcPr>
            <w:tcW w:w="42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加强教学方法的改革创新</w:t>
            </w:r>
          </w:p>
        </w:tc>
        <w:tc>
          <w:tcPr>
            <w:tcW w:w="7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9.34%</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更多开放式课程（如网络课程、不同专业、院系的课程）</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8.05%</w:t>
            </w:r>
          </w:p>
        </w:tc>
      </w:tr>
      <w:tr w:rsidR="00603F28">
        <w:trPr>
          <w:trHeight w:val="300"/>
        </w:trPr>
        <w:tc>
          <w:tcPr>
            <w:tcW w:w="42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相关职业资格考试培训</w:t>
            </w:r>
          </w:p>
        </w:tc>
        <w:tc>
          <w:tcPr>
            <w:tcW w:w="7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5.25%</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其他学校听课，共享学习资源</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3.35%</w:t>
            </w:r>
          </w:p>
        </w:tc>
      </w:tr>
      <w:tr w:rsidR="00603F28">
        <w:trPr>
          <w:trHeight w:val="300"/>
        </w:trPr>
        <w:tc>
          <w:tcPr>
            <w:tcW w:w="42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校外人士在校讲课或开始课程</w:t>
            </w:r>
          </w:p>
        </w:tc>
        <w:tc>
          <w:tcPr>
            <w:tcW w:w="7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3.01%</w:t>
            </w:r>
          </w:p>
        </w:tc>
      </w:tr>
      <w:tr w:rsidR="00603F28">
        <w:trPr>
          <w:trHeight w:val="300"/>
        </w:trPr>
        <w:tc>
          <w:tcPr>
            <w:tcW w:w="42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其他</w:t>
            </w:r>
          </w:p>
        </w:tc>
        <w:tc>
          <w:tcPr>
            <w:tcW w:w="7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0.56%</w:t>
            </w:r>
          </w:p>
        </w:tc>
      </w:tr>
    </w:tbl>
    <w:p w:rsidR="00603F28" w:rsidRDefault="00041260">
      <w:pPr>
        <w:pStyle w:val="3"/>
      </w:pPr>
      <w:bookmarkStart w:id="115" w:name="_Toc27642655"/>
      <w:r>
        <w:rPr>
          <w:rFonts w:hint="eastAsia"/>
        </w:rPr>
        <w:t>（三）毕业生对专业课程设置评价</w:t>
      </w:r>
      <w:bookmarkEnd w:id="115"/>
    </w:p>
    <w:p w:rsidR="00603F28" w:rsidRDefault="00041260">
      <w:pPr>
        <w:pStyle w:val="4"/>
        <w:ind w:firstLineChars="200" w:firstLine="422"/>
      </w:pPr>
      <w:r>
        <w:t>1.</w:t>
      </w:r>
      <w:r>
        <w:rPr>
          <w:rFonts w:hint="eastAsia"/>
        </w:rPr>
        <w:t>专业课程设置满意度</w:t>
      </w:r>
    </w:p>
    <w:p w:rsidR="00603F28" w:rsidRDefault="00041260">
      <w:pPr>
        <w:ind w:firstLineChars="200" w:firstLine="420"/>
      </w:pPr>
      <w:r>
        <w:rPr>
          <w:rFonts w:hint="eastAsia"/>
        </w:rPr>
        <w:t>2019</w:t>
      </w:r>
      <w:r>
        <w:rPr>
          <w:rFonts w:hint="eastAsia"/>
        </w:rPr>
        <w:t>届本科毕业生对专业课程设置满意度为</w:t>
      </w:r>
      <w:r>
        <w:rPr>
          <w:rFonts w:hint="eastAsia"/>
        </w:rPr>
        <w:t>9</w:t>
      </w:r>
      <w:r>
        <w:t>0.84</w:t>
      </w:r>
      <w:r>
        <w:rPr>
          <w:rFonts w:hint="eastAsia"/>
        </w:rPr>
        <w:t>%</w:t>
      </w:r>
      <w:r>
        <w:rPr>
          <w:rFonts w:hint="eastAsia"/>
        </w:rPr>
        <w:t>。毕业生对专业课程设置总体满意度较高。</w:t>
      </w:r>
    </w:p>
    <w:p w:rsidR="00603F28" w:rsidRDefault="00041260">
      <w:pPr>
        <w:ind w:firstLineChars="200" w:firstLine="420"/>
      </w:pPr>
      <w:r>
        <w:rPr>
          <w:rFonts w:hint="eastAsia"/>
        </w:rPr>
        <w:t>分专业类别来看，统计学类等</w:t>
      </w:r>
      <w:r>
        <w:t>14</w:t>
      </w:r>
      <w:r>
        <w:rPr>
          <w:rFonts w:hint="eastAsia"/>
        </w:rPr>
        <w:t>个专业类别的满意度在</w:t>
      </w:r>
      <w:r>
        <w:rPr>
          <w:rFonts w:hint="eastAsia"/>
        </w:rPr>
        <w:t>90%</w:t>
      </w:r>
      <w:r>
        <w:rPr>
          <w:rFonts w:hint="eastAsia"/>
        </w:rPr>
        <w:t>以上。其中，金融学类和会计学类专业毕业生对专业课程设置满意度分别为</w:t>
      </w:r>
      <w:r>
        <w:t>91.24</w:t>
      </w:r>
      <w:r>
        <w:rPr>
          <w:rFonts w:hint="eastAsia"/>
        </w:rPr>
        <w:t>%</w:t>
      </w:r>
      <w:r>
        <w:rPr>
          <w:rFonts w:hint="eastAsia"/>
        </w:rPr>
        <w:t>和</w:t>
      </w:r>
      <w:r>
        <w:t>91.67</w:t>
      </w:r>
      <w:r>
        <w:rPr>
          <w:rFonts w:hint="eastAsia"/>
        </w:rPr>
        <w:t>%</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5</w:t>
      </w:r>
      <w:r>
        <w:fldChar w:fldCharType="end"/>
      </w:r>
      <w:r>
        <w:t xml:space="preserve">  2019</w:t>
      </w:r>
      <w:r>
        <w:rPr>
          <w:rFonts w:hint="eastAsia"/>
        </w:rPr>
        <w:t>届各专业类别毕业生对专业课程设置满意度</w:t>
      </w:r>
    </w:p>
    <w:tbl>
      <w:tblPr>
        <w:tblW w:w="5000" w:type="pct"/>
        <w:tblLook w:val="04A0" w:firstRow="1" w:lastRow="0" w:firstColumn="1" w:lastColumn="0" w:noHBand="0" w:noVBand="1"/>
      </w:tblPr>
      <w:tblGrid>
        <w:gridCol w:w="1002"/>
        <w:gridCol w:w="3388"/>
        <w:gridCol w:w="3906"/>
      </w:tblGrid>
      <w:tr w:rsidR="00603F28">
        <w:trPr>
          <w:trHeight w:val="300"/>
          <w:tblHeader/>
        </w:trPr>
        <w:tc>
          <w:tcPr>
            <w:tcW w:w="60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04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二级学科分类</w:t>
            </w:r>
          </w:p>
        </w:tc>
        <w:tc>
          <w:tcPr>
            <w:tcW w:w="235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专业课程设置满意度</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音乐与舞蹈学类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中国语言文学类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95.65%</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经济与贸易类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95.60%</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数学类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94.44%</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92.86%</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92.52%</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92.45%</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91.67%</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设计学类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91.67%</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91.56%</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91.24%</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90.87%</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88.24%</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物流管理与工程类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87.50%</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管理科学与工程类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86.44%</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公共管理类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86.21%</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外国语言文学类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86.05%</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81.82%</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新闻传播学类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81.25%</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76.92%</w:t>
            </w:r>
          </w:p>
        </w:tc>
      </w:tr>
    </w:tbl>
    <w:p w:rsidR="00603F28" w:rsidRDefault="00041260">
      <w:pPr>
        <w:pStyle w:val="4"/>
        <w:ind w:firstLineChars="200" w:firstLine="422"/>
      </w:pPr>
      <w:r>
        <w:t>2.</w:t>
      </w:r>
      <w:r>
        <w:rPr>
          <w:rFonts w:hint="eastAsia"/>
        </w:rPr>
        <w:t>专业知识职业适用度</w:t>
      </w:r>
    </w:p>
    <w:p w:rsidR="00603F28" w:rsidRDefault="00041260">
      <w:pPr>
        <w:ind w:firstLineChars="200" w:firstLine="420"/>
      </w:pPr>
      <w:r>
        <w:rPr>
          <w:rFonts w:hint="eastAsia"/>
        </w:rPr>
        <w:t>2019</w:t>
      </w:r>
      <w:r>
        <w:rPr>
          <w:rFonts w:hint="eastAsia"/>
        </w:rPr>
        <w:t>届本科毕业生中，</w:t>
      </w:r>
      <w:r>
        <w:rPr>
          <w:rFonts w:hint="eastAsia"/>
        </w:rPr>
        <w:t>82.</w:t>
      </w:r>
      <w:r>
        <w:t>57</w:t>
      </w:r>
      <w:r>
        <w:rPr>
          <w:rFonts w:hint="eastAsia"/>
        </w:rPr>
        <w:t>%</w:t>
      </w:r>
      <w:r>
        <w:rPr>
          <w:rFonts w:hint="eastAsia"/>
        </w:rPr>
        <w:t>的毕业生认为专业知识对自身工作和职业有一定的适用性。而也有</w:t>
      </w:r>
      <w:r>
        <w:rPr>
          <w:rFonts w:hint="eastAsia"/>
        </w:rPr>
        <w:t>17.43%</w:t>
      </w:r>
      <w:r>
        <w:rPr>
          <w:rFonts w:hint="eastAsia"/>
        </w:rPr>
        <w:t>的毕业生认为专业知识不适用于当前工作，其中可能含有毕业生从事工作与专业不相关的因素影响。</w:t>
      </w:r>
    </w:p>
    <w:p w:rsidR="00603F28" w:rsidRDefault="00041260">
      <w:pPr>
        <w:ind w:firstLineChars="200" w:firstLine="420"/>
      </w:pPr>
      <w:r>
        <w:rPr>
          <w:rFonts w:hint="eastAsia"/>
        </w:rPr>
        <w:t>分专业类别来看，会计学类等</w:t>
      </w:r>
      <w:r>
        <w:t>2</w:t>
      </w:r>
      <w:r>
        <w:rPr>
          <w:rFonts w:hint="eastAsia"/>
        </w:rPr>
        <w:t>个专业类别毕业生中，超过</w:t>
      </w:r>
      <w:r>
        <w:rPr>
          <w:rFonts w:hint="eastAsia"/>
        </w:rPr>
        <w:t>90%</w:t>
      </w:r>
      <w:r>
        <w:rPr>
          <w:rFonts w:hint="eastAsia"/>
        </w:rPr>
        <w:t>的毕业生认为专业知识的适用度较高。其中，</w:t>
      </w:r>
      <w:r>
        <w:t>8</w:t>
      </w:r>
      <w:r>
        <w:rPr>
          <w:rFonts w:hint="eastAsia"/>
        </w:rPr>
        <w:t>0.86%</w:t>
      </w:r>
      <w:r>
        <w:rPr>
          <w:rFonts w:hint="eastAsia"/>
        </w:rPr>
        <w:t>的金融类专业毕业生认为专业知识对职业的适用度较高。</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6</w:t>
      </w:r>
      <w:r>
        <w:fldChar w:fldCharType="end"/>
      </w:r>
      <w:r>
        <w:t xml:space="preserve">  2019</w:t>
      </w:r>
      <w:r>
        <w:rPr>
          <w:rFonts w:hint="eastAsia"/>
        </w:rPr>
        <w:t>届分专业类别本科毕业生认为专业知识对职业适用度</w:t>
      </w:r>
    </w:p>
    <w:tbl>
      <w:tblPr>
        <w:tblW w:w="5000" w:type="pct"/>
        <w:tblLook w:val="04A0" w:firstRow="1" w:lastRow="0" w:firstColumn="1" w:lastColumn="0" w:noHBand="0" w:noVBand="1"/>
      </w:tblPr>
      <w:tblGrid>
        <w:gridCol w:w="1002"/>
        <w:gridCol w:w="3388"/>
        <w:gridCol w:w="3906"/>
      </w:tblGrid>
      <w:tr w:rsidR="00603F28">
        <w:trPr>
          <w:trHeight w:val="300"/>
          <w:tblHeader/>
        </w:trPr>
        <w:tc>
          <w:tcPr>
            <w:tcW w:w="60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042"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二级学科分类</w:t>
            </w:r>
          </w:p>
        </w:tc>
        <w:tc>
          <w:tcPr>
            <w:tcW w:w="2354"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专业知识对职业适用度</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中国语言文学类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91.44%</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88.79%</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88.24%</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经济与贸易类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86.16%</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85.71%</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音乐与舞蹈学类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84.62%</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数学类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83.33%</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82.89%</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公共管理类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82.76%</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82.08%</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新闻传播学类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81.25%</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80.86%</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设计学类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80.56%</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管理科学与工程类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79.66%</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77.50%</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76.62%</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73.91%</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72.55%</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物流管理与工程类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71.88%</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外国语言文学类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69.77%</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042"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体育学类</w:t>
            </w:r>
          </w:p>
        </w:tc>
        <w:tc>
          <w:tcPr>
            <w:tcW w:w="2354"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65.38%</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042"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旅游管理类</w:t>
            </w:r>
          </w:p>
        </w:tc>
        <w:tc>
          <w:tcPr>
            <w:tcW w:w="2354"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36.36%</w:t>
            </w:r>
          </w:p>
        </w:tc>
      </w:tr>
    </w:tbl>
    <w:p w:rsidR="00603F28" w:rsidRDefault="00041260">
      <w:pPr>
        <w:pStyle w:val="4"/>
        <w:ind w:firstLineChars="200" w:firstLine="422"/>
      </w:pPr>
      <w:r>
        <w:t>3.</w:t>
      </w:r>
      <w:r>
        <w:rPr>
          <w:rFonts w:hint="eastAsia"/>
        </w:rPr>
        <w:t>核心课程对就业的重要程度</w:t>
      </w:r>
    </w:p>
    <w:p w:rsidR="00603F28" w:rsidRDefault="00041260">
      <w:pPr>
        <w:ind w:firstLineChars="200" w:firstLine="420"/>
      </w:pPr>
      <w:r>
        <w:rPr>
          <w:rFonts w:hint="eastAsia"/>
        </w:rPr>
        <w:t>专业核心课程是指各专业中，以本专业核心理论和技能为主要内容的课程。专业核心课程的学习，是本专业学生强化专业知识基础、培养专业能力的重要途径。</w:t>
      </w:r>
      <w:r>
        <w:rPr>
          <w:rFonts w:hint="eastAsia"/>
        </w:rPr>
        <w:t>2019</w:t>
      </w:r>
      <w:r>
        <w:rPr>
          <w:rFonts w:hint="eastAsia"/>
        </w:rPr>
        <w:t>届本科毕业生中，</w:t>
      </w:r>
      <w:r>
        <w:rPr>
          <w:rFonts w:hint="eastAsia"/>
        </w:rPr>
        <w:t>8</w:t>
      </w:r>
      <w:r>
        <w:t>6.18</w:t>
      </w:r>
      <w:r>
        <w:rPr>
          <w:rFonts w:hint="eastAsia"/>
        </w:rPr>
        <w:t>%</w:t>
      </w:r>
      <w:r>
        <w:rPr>
          <w:rFonts w:hint="eastAsia"/>
        </w:rPr>
        <w:t>的毕业生认为专业核心课程对自身就业有重要的帮助作用。</w:t>
      </w:r>
    </w:p>
    <w:p w:rsidR="00603F28" w:rsidRDefault="00041260">
      <w:pPr>
        <w:ind w:firstLineChars="200" w:firstLine="420"/>
      </w:pPr>
      <w:r>
        <w:rPr>
          <w:rFonts w:hint="eastAsia"/>
        </w:rPr>
        <w:t>分专业类别来看，中国语言文学类等</w:t>
      </w:r>
      <w:r>
        <w:t>5</w:t>
      </w:r>
      <w:r>
        <w:rPr>
          <w:rFonts w:hint="eastAsia"/>
        </w:rPr>
        <w:t>个专业类别毕业生中，超过</w:t>
      </w:r>
      <w:r>
        <w:rPr>
          <w:rFonts w:hint="eastAsia"/>
        </w:rPr>
        <w:t>90%</w:t>
      </w:r>
      <w:r>
        <w:rPr>
          <w:rFonts w:hint="eastAsia"/>
        </w:rPr>
        <w:t>的毕业生认为专业核心课程对就业的重要程度较高。其中，金融学类和会计学类毕业生中，分别有</w:t>
      </w:r>
      <w:r>
        <w:rPr>
          <w:rFonts w:hint="eastAsia"/>
        </w:rPr>
        <w:t>82.08%</w:t>
      </w:r>
      <w:r>
        <w:rPr>
          <w:rFonts w:hint="eastAsia"/>
        </w:rPr>
        <w:t>和</w:t>
      </w:r>
      <w:r>
        <w:rPr>
          <w:rFonts w:hint="eastAsia"/>
        </w:rPr>
        <w:t>92.82%</w:t>
      </w:r>
      <w:r>
        <w:rPr>
          <w:rFonts w:hint="eastAsia"/>
        </w:rPr>
        <w:t>的毕业生认为专业知识对职业的适用度较高。</w:t>
      </w:r>
    </w:p>
    <w:p w:rsidR="00603F28" w:rsidRDefault="00041260">
      <w:pPr>
        <w:pStyle w:val="a3"/>
      </w:pPr>
      <w:r>
        <w:rPr>
          <w:rFonts w:hint="eastAsia"/>
        </w:rPr>
        <w:t>表</w:t>
      </w:r>
      <w:r>
        <w:rPr>
          <w:rFonts w:hint="eastAsia"/>
        </w:rPr>
        <w:t>5-</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7</w:t>
      </w:r>
      <w:r>
        <w:fldChar w:fldCharType="end"/>
      </w:r>
      <w:r>
        <w:t xml:space="preserve">  2019</w:t>
      </w:r>
      <w:r>
        <w:rPr>
          <w:rFonts w:hint="eastAsia"/>
        </w:rPr>
        <w:t>届分</w:t>
      </w:r>
      <w:r>
        <w:rPr>
          <w:rFonts w:hint="eastAsia"/>
        </w:rPr>
        <w:t>专业类别本科毕业生认为核心课程对就业的重要程度</w:t>
      </w:r>
    </w:p>
    <w:tbl>
      <w:tblPr>
        <w:tblW w:w="5000" w:type="pct"/>
        <w:tblLook w:val="04A0" w:firstRow="1" w:lastRow="0" w:firstColumn="1" w:lastColumn="0" w:noHBand="0" w:noVBand="1"/>
      </w:tblPr>
      <w:tblGrid>
        <w:gridCol w:w="1002"/>
        <w:gridCol w:w="3672"/>
        <w:gridCol w:w="3622"/>
      </w:tblGrid>
      <w:tr w:rsidR="00603F28">
        <w:trPr>
          <w:trHeight w:val="300"/>
          <w:tblHeader/>
        </w:trPr>
        <w:tc>
          <w:tcPr>
            <w:tcW w:w="604"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21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二级学科分类</w:t>
            </w:r>
          </w:p>
        </w:tc>
        <w:tc>
          <w:tcPr>
            <w:tcW w:w="2183"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核心课程对就业的重要程度</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中国语言文学类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数学类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94.44%</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94.39%</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新闻传播学类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93.75%</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92.82%</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公共管理类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89.66%</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88.59%</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88.33%</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88.24%</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86.96%</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86.79%</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经济与贸易类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86.79%</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85.71%</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管理科学与工程类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83.05%</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82.08%</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设计学类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81.94%</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80.77%</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80.52%</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78.43%</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物流管理与工程类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78.13%</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音乐与舞蹈学类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76.92%</w:t>
            </w:r>
          </w:p>
        </w:tc>
      </w:tr>
      <w:tr w:rsidR="00603F28">
        <w:trPr>
          <w:trHeight w:val="300"/>
        </w:trPr>
        <w:tc>
          <w:tcPr>
            <w:tcW w:w="60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21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外国语言文学类</w:t>
            </w:r>
          </w:p>
        </w:tc>
        <w:tc>
          <w:tcPr>
            <w:tcW w:w="2183"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74.42%</w:t>
            </w:r>
          </w:p>
        </w:tc>
      </w:tr>
      <w:tr w:rsidR="00603F28">
        <w:trPr>
          <w:trHeight w:val="300"/>
        </w:trPr>
        <w:tc>
          <w:tcPr>
            <w:tcW w:w="60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21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旅游管理类</w:t>
            </w:r>
          </w:p>
        </w:tc>
        <w:tc>
          <w:tcPr>
            <w:tcW w:w="2183"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54.55%</w:t>
            </w:r>
          </w:p>
        </w:tc>
      </w:tr>
    </w:tbl>
    <w:p w:rsidR="00603F28" w:rsidRDefault="00041260">
      <w:pPr>
        <w:pStyle w:val="4"/>
        <w:ind w:firstLineChars="200" w:firstLine="422"/>
      </w:pPr>
      <w:r>
        <w:t>4.</w:t>
      </w:r>
      <w:r>
        <w:rPr>
          <w:rFonts w:hint="eastAsia"/>
        </w:rPr>
        <w:t>专业课程的掌握度和就业帮助度</w:t>
      </w:r>
    </w:p>
    <w:p w:rsidR="00603F28" w:rsidRDefault="00041260">
      <w:pPr>
        <w:ind w:firstLineChars="200" w:firstLine="420"/>
      </w:pPr>
      <w:r>
        <w:rPr>
          <w:rFonts w:hint="eastAsia"/>
        </w:rPr>
        <w:t>2019</w:t>
      </w:r>
      <w:r>
        <w:rPr>
          <w:rFonts w:hint="eastAsia"/>
        </w:rPr>
        <w:t>届本科毕业生对各类课程的掌握程度、各类课程对毕业生就业的帮助程度情况如下图所示。横轴代表毕业生认为课程对就业的帮助程度，纵轴代表毕业生对其掌握程度，数据显示</w:t>
      </w:r>
      <w:r>
        <w:t>8</w:t>
      </w:r>
      <w:r>
        <w:rPr>
          <w:rFonts w:hint="eastAsia"/>
        </w:rPr>
        <w:t>种课程形成了三个类别：</w:t>
      </w:r>
    </w:p>
    <w:p w:rsidR="00603F28" w:rsidRDefault="00041260">
      <w:pPr>
        <w:ind w:firstLineChars="200" w:firstLine="420"/>
      </w:pPr>
      <w:r>
        <w:rPr>
          <w:rFonts w:hint="eastAsia"/>
        </w:rPr>
        <w:t>第一类为专业类课程，包括学科基础课程、专业课程、专业提高课程。多数毕业生认为这一类课程对就业的帮助程度大，且对其掌握程度高，毕业生对这些课程最为重视和认可。</w:t>
      </w:r>
    </w:p>
    <w:p w:rsidR="00603F28" w:rsidRDefault="00041260">
      <w:pPr>
        <w:ind w:firstLineChars="200" w:firstLine="420"/>
      </w:pPr>
      <w:r>
        <w:rPr>
          <w:rFonts w:hint="eastAsia"/>
        </w:rPr>
        <w:t>第二类为通识类课程，包括通识课程和通识选修课程。毕业生对这类课程的掌握程度和重视程度一般，且对就业的帮助程度一般。</w:t>
      </w:r>
    </w:p>
    <w:p w:rsidR="00603F28" w:rsidRDefault="00041260">
      <w:pPr>
        <w:ind w:firstLineChars="200" w:firstLine="420"/>
      </w:pPr>
      <w:r>
        <w:rPr>
          <w:rFonts w:hint="eastAsia"/>
        </w:rPr>
        <w:t>第三类为职业规划类课程，包括就业指导课程、创业课</w:t>
      </w:r>
      <w:r>
        <w:rPr>
          <w:rFonts w:hint="eastAsia"/>
        </w:rPr>
        <w:t>程、职业生涯规划课程。毕业生对这类课程的掌握程度普遍较低，且对就业的帮助程度也较低。</w:t>
      </w:r>
    </w:p>
    <w:p w:rsidR="00603F28" w:rsidRDefault="00041260">
      <w:pPr>
        <w:keepNext/>
        <w:jc w:val="center"/>
      </w:pPr>
      <w:r>
        <w:rPr>
          <w:noProof/>
        </w:rPr>
        <w:drawing>
          <wp:inline distT="0" distB="0" distL="0" distR="0">
            <wp:extent cx="4177665" cy="3998595"/>
            <wp:effectExtent l="0" t="0" r="0" b="190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4184940" cy="4005550"/>
                    </a:xfrm>
                    <a:prstGeom prst="rect">
                      <a:avLst/>
                    </a:prstGeom>
                    <a:noFill/>
                  </pic:spPr>
                </pic:pic>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w:t>
      </w:r>
      <w:r>
        <w:fldChar w:fldCharType="end"/>
      </w:r>
      <w:r>
        <w:t xml:space="preserve">  2019</w:t>
      </w:r>
      <w:r>
        <w:rPr>
          <w:rFonts w:hint="eastAsia"/>
        </w:rPr>
        <w:t>届本科毕业生专业课程掌握度和就业帮助度</w:t>
      </w:r>
    </w:p>
    <w:p w:rsidR="00603F28" w:rsidRDefault="00041260">
      <w:pPr>
        <w:pStyle w:val="4"/>
        <w:ind w:firstLineChars="200" w:firstLine="422"/>
      </w:pPr>
      <w:r>
        <w:t>5.</w:t>
      </w:r>
      <w:r>
        <w:rPr>
          <w:rFonts w:hint="eastAsia"/>
        </w:rPr>
        <w:t>毕业生对专业课程设置的建议</w:t>
      </w:r>
    </w:p>
    <w:p w:rsidR="00603F28" w:rsidRDefault="00041260">
      <w:pPr>
        <w:ind w:firstLineChars="200" w:firstLine="420"/>
      </w:pPr>
      <w:r>
        <w:rPr>
          <w:rFonts w:hint="eastAsia"/>
        </w:rPr>
        <w:t>2019</w:t>
      </w:r>
      <w:r>
        <w:rPr>
          <w:rFonts w:hint="eastAsia"/>
        </w:rPr>
        <w:t>届本科毕业生对专业课程设置的建议主要集中在“本专业课程的实用性”（</w:t>
      </w:r>
      <w:r>
        <w:t>2</w:t>
      </w:r>
      <w:r>
        <w:rPr>
          <w:rFonts w:hint="eastAsia"/>
        </w:rPr>
        <w:t>7.</w:t>
      </w:r>
      <w:r>
        <w:t>5</w:t>
      </w:r>
      <w:r>
        <w:rPr>
          <w:rFonts w:hint="eastAsia"/>
        </w:rPr>
        <w:t>6%</w:t>
      </w:r>
      <w:r>
        <w:rPr>
          <w:rFonts w:hint="eastAsia"/>
        </w:rPr>
        <w:t>）和“实践课程安排次数”（</w:t>
      </w:r>
      <w:r>
        <w:t>20.01</w:t>
      </w:r>
      <w:r>
        <w:rPr>
          <w:rFonts w:hint="eastAsia"/>
        </w:rPr>
        <w:t>%</w:t>
      </w:r>
      <w:r>
        <w:rPr>
          <w:rFonts w:hint="eastAsia"/>
        </w:rPr>
        <w:t>）。</w:t>
      </w:r>
    </w:p>
    <w:p w:rsidR="00603F28" w:rsidRDefault="00041260">
      <w:pPr>
        <w:keepNext/>
      </w:pPr>
      <w:r>
        <w:rPr>
          <w:noProof/>
        </w:rPr>
        <w:drawing>
          <wp:inline distT="0" distB="0" distL="0" distR="0">
            <wp:extent cx="5274310" cy="2458085"/>
            <wp:effectExtent l="0" t="0" r="254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w:t>
      </w:r>
      <w:r>
        <w:fldChar w:fldCharType="end"/>
      </w:r>
      <w:r>
        <w:t xml:space="preserve">  2019</w:t>
      </w:r>
      <w:r>
        <w:rPr>
          <w:rFonts w:hint="eastAsia"/>
        </w:rPr>
        <w:t>届本科毕业生对专业及课程设置的建议</w:t>
      </w:r>
    </w:p>
    <w:p w:rsidR="00603F28" w:rsidRDefault="00041260">
      <w:pPr>
        <w:pStyle w:val="3"/>
      </w:pPr>
      <w:bookmarkStart w:id="116" w:name="_Toc27642656"/>
      <w:r>
        <w:rPr>
          <w:rFonts w:hint="eastAsia"/>
        </w:rPr>
        <w:t>（四）毕业生对教师教学评价</w:t>
      </w:r>
      <w:bookmarkEnd w:id="116"/>
    </w:p>
    <w:p w:rsidR="00603F28" w:rsidRDefault="00041260">
      <w:pPr>
        <w:pStyle w:val="4"/>
        <w:ind w:firstLineChars="200" w:firstLine="422"/>
      </w:pPr>
      <w:r>
        <w:t>1.</w:t>
      </w:r>
      <w:r>
        <w:rPr>
          <w:rFonts w:hint="eastAsia"/>
        </w:rPr>
        <w:t>教师教学满意度</w:t>
      </w:r>
    </w:p>
    <w:p w:rsidR="00603F28" w:rsidRDefault="00041260">
      <w:pPr>
        <w:ind w:firstLineChars="200" w:firstLine="420"/>
      </w:pPr>
      <w:r>
        <w:rPr>
          <w:rFonts w:hint="eastAsia"/>
        </w:rPr>
        <w:t>2019</w:t>
      </w:r>
      <w:r>
        <w:rPr>
          <w:rFonts w:hint="eastAsia"/>
        </w:rPr>
        <w:t>届本科毕业生对母校教师教学满意度为</w:t>
      </w:r>
      <w:r>
        <w:rPr>
          <w:rFonts w:hint="eastAsia"/>
        </w:rPr>
        <w:t>95.43%</w:t>
      </w:r>
      <w:r>
        <w:rPr>
          <w:rFonts w:hint="eastAsia"/>
        </w:rPr>
        <w:t>，对母校教师教学质量高度认可。</w:t>
      </w:r>
    </w:p>
    <w:p w:rsidR="00603F28" w:rsidRDefault="00041260">
      <w:pPr>
        <w:ind w:firstLineChars="200" w:firstLine="420"/>
      </w:pPr>
      <w:r>
        <w:rPr>
          <w:rFonts w:hint="eastAsia"/>
        </w:rPr>
        <w:t>分专业类别来看，所有专业类别的满意度均在</w:t>
      </w:r>
      <w:r>
        <w:rPr>
          <w:rFonts w:hint="eastAsia"/>
        </w:rPr>
        <w:t>90%</w:t>
      </w:r>
      <w:r>
        <w:rPr>
          <w:rFonts w:hint="eastAsia"/>
        </w:rPr>
        <w:t>以上；电子信息类、社会学类等</w:t>
      </w:r>
      <w:r>
        <w:t>6</w:t>
      </w:r>
      <w:r>
        <w:rPr>
          <w:rFonts w:hint="eastAsia"/>
        </w:rPr>
        <w:t>个专业类别的满意度为</w:t>
      </w:r>
      <w:r>
        <w:rPr>
          <w:rFonts w:hint="eastAsia"/>
        </w:rPr>
        <w:t>100%</w:t>
      </w:r>
      <w:r>
        <w:rPr>
          <w:rFonts w:hint="eastAsia"/>
        </w:rPr>
        <w:t>。其中，金融学类和会计学类毕业生的教师教学满意度分别为</w:t>
      </w:r>
      <w:r>
        <w:rPr>
          <w:rFonts w:hint="eastAsia"/>
        </w:rPr>
        <w:t>92.67%</w:t>
      </w:r>
      <w:r>
        <w:rPr>
          <w:rFonts w:hint="eastAsia"/>
        </w:rPr>
        <w:t>和</w:t>
      </w:r>
      <w:r>
        <w:rPr>
          <w:rFonts w:hint="eastAsia"/>
        </w:rPr>
        <w:t>94.91%</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8</w:t>
      </w:r>
      <w:r>
        <w:fldChar w:fldCharType="end"/>
      </w:r>
      <w:r>
        <w:t xml:space="preserve">  2019</w:t>
      </w:r>
      <w:r>
        <w:t>届</w:t>
      </w:r>
      <w:r>
        <w:rPr>
          <w:rFonts w:hint="eastAsia"/>
        </w:rPr>
        <w:t>各</w:t>
      </w:r>
      <w:r>
        <w:t>专业类别教师教学满意度</w:t>
      </w:r>
    </w:p>
    <w:tbl>
      <w:tblPr>
        <w:tblW w:w="5000" w:type="pct"/>
        <w:tblLook w:val="04A0" w:firstRow="1" w:lastRow="0" w:firstColumn="1" w:lastColumn="0" w:noHBand="0" w:noVBand="1"/>
      </w:tblPr>
      <w:tblGrid>
        <w:gridCol w:w="868"/>
        <w:gridCol w:w="5092"/>
        <w:gridCol w:w="2336"/>
      </w:tblGrid>
      <w:tr w:rsidR="00603F28">
        <w:trPr>
          <w:trHeight w:val="300"/>
          <w:tblHeader/>
        </w:trPr>
        <w:tc>
          <w:tcPr>
            <w:tcW w:w="523"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3069"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二级学科分类</w:t>
            </w:r>
          </w:p>
        </w:tc>
        <w:tc>
          <w:tcPr>
            <w:tcW w:w="140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教师教学满意度</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数学类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音乐与舞蹈学类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中国语言文学类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管理科学与工程类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98.31%</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经济与贸易类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98.11%</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98.11%</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物流管理与工程类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96.88%</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96.58%</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公共管理类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96.55%</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96.15%</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96.10%</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外国语言文学类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95.35%</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95.33%</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95.00%</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94.91%</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设计学类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94.44%</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新闻传播学类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93.75%</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92.67%</w:t>
            </w:r>
          </w:p>
        </w:tc>
      </w:tr>
      <w:tr w:rsidR="00603F28">
        <w:trPr>
          <w:trHeight w:val="300"/>
        </w:trPr>
        <w:tc>
          <w:tcPr>
            <w:tcW w:w="52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3069"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电子商务类</w:t>
            </w:r>
          </w:p>
        </w:tc>
        <w:tc>
          <w:tcPr>
            <w:tcW w:w="140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92.16%</w:t>
            </w:r>
          </w:p>
        </w:tc>
      </w:tr>
      <w:tr w:rsidR="00603F28">
        <w:trPr>
          <w:trHeight w:val="300"/>
        </w:trPr>
        <w:tc>
          <w:tcPr>
            <w:tcW w:w="52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3069"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旅游管理类</w:t>
            </w:r>
          </w:p>
        </w:tc>
        <w:tc>
          <w:tcPr>
            <w:tcW w:w="140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90.91%</w:t>
            </w:r>
          </w:p>
        </w:tc>
      </w:tr>
    </w:tbl>
    <w:p w:rsidR="00603F28" w:rsidRDefault="00041260">
      <w:pPr>
        <w:pStyle w:val="4"/>
        <w:ind w:firstLineChars="200" w:firstLine="422"/>
      </w:pPr>
      <w:r>
        <w:rPr>
          <w:rFonts w:hint="eastAsia"/>
        </w:rPr>
        <w:t>2</w:t>
      </w:r>
      <w:r>
        <w:t>.</w:t>
      </w:r>
      <w:r>
        <w:rPr>
          <w:rFonts w:hint="eastAsia"/>
        </w:rPr>
        <w:t>毕业生对教师教学的建议</w:t>
      </w:r>
    </w:p>
    <w:p w:rsidR="00603F28" w:rsidRDefault="00041260">
      <w:pPr>
        <w:ind w:firstLineChars="200" w:firstLine="420"/>
      </w:pPr>
      <w:r>
        <w:rPr>
          <w:rFonts w:hint="eastAsia"/>
        </w:rPr>
        <w:t>2019</w:t>
      </w:r>
      <w:r>
        <w:rPr>
          <w:rFonts w:hint="eastAsia"/>
        </w:rPr>
        <w:t>届本科毕业生对教师教学的建议主要集中在加强“实践教学”（</w:t>
      </w:r>
      <w:r>
        <w:t>18.92</w:t>
      </w:r>
      <w:r>
        <w:rPr>
          <w:rFonts w:hint="eastAsia"/>
        </w:rPr>
        <w:t>%</w:t>
      </w:r>
      <w:r>
        <w:rPr>
          <w:rFonts w:hint="eastAsia"/>
        </w:rPr>
        <w:t>）、“教学方法和手段”（</w:t>
      </w:r>
      <w:r>
        <w:t>17.35</w:t>
      </w:r>
      <w:r>
        <w:rPr>
          <w:rFonts w:hint="eastAsia"/>
        </w:rPr>
        <w:t>%</w:t>
      </w:r>
      <w:r>
        <w:rPr>
          <w:rFonts w:hint="eastAsia"/>
        </w:rPr>
        <w:t>）和“专业课内容及安排”（</w:t>
      </w:r>
      <w:r>
        <w:t>17.07</w:t>
      </w:r>
      <w:r>
        <w:rPr>
          <w:rFonts w:hint="eastAsia"/>
        </w:rPr>
        <w:t>%</w:t>
      </w:r>
      <w:r>
        <w:rPr>
          <w:rFonts w:hint="eastAsia"/>
        </w:rPr>
        <w:t>）。</w:t>
      </w:r>
    </w:p>
    <w:p w:rsidR="00603F28" w:rsidRDefault="00041260">
      <w:pPr>
        <w:keepNext/>
      </w:pPr>
      <w:r>
        <w:rPr>
          <w:noProof/>
        </w:rPr>
        <w:drawing>
          <wp:inline distT="0" distB="0" distL="0" distR="0">
            <wp:extent cx="5274310" cy="2700020"/>
            <wp:effectExtent l="0" t="0" r="2540" b="5080"/>
            <wp:docPr id="68" name="图表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3</w:t>
      </w:r>
      <w:r>
        <w:fldChar w:fldCharType="end"/>
      </w:r>
      <w:r>
        <w:t xml:space="preserve">  2019</w:t>
      </w:r>
      <w:r>
        <w:t>届本科毕业生对教师教学的建议</w:t>
      </w:r>
    </w:p>
    <w:p w:rsidR="00603F28" w:rsidRDefault="00041260">
      <w:pPr>
        <w:pStyle w:val="3"/>
      </w:pPr>
      <w:bookmarkStart w:id="117" w:name="_Toc27642657"/>
      <w:r>
        <w:rPr>
          <w:rFonts w:hint="eastAsia"/>
        </w:rPr>
        <w:t>（五）毕业生对实践教学评价</w:t>
      </w:r>
      <w:bookmarkEnd w:id="117"/>
    </w:p>
    <w:p w:rsidR="00603F28" w:rsidRDefault="00041260">
      <w:pPr>
        <w:pStyle w:val="4"/>
        <w:ind w:firstLineChars="200" w:firstLine="422"/>
      </w:pPr>
      <w:r>
        <w:t>1.</w:t>
      </w:r>
      <w:r>
        <w:rPr>
          <w:rFonts w:hint="eastAsia"/>
        </w:rPr>
        <w:t>实践教学及其基础设施满意度</w:t>
      </w:r>
    </w:p>
    <w:p w:rsidR="00603F28" w:rsidRDefault="00041260">
      <w:pPr>
        <w:ind w:firstLineChars="200" w:firstLine="420"/>
      </w:pPr>
      <w:r>
        <w:rPr>
          <w:rFonts w:hint="eastAsia"/>
        </w:rPr>
        <w:t>2019</w:t>
      </w:r>
      <w:r>
        <w:rPr>
          <w:rFonts w:hint="eastAsia"/>
        </w:rPr>
        <w:t>届本科毕业生对实践教学及其基础设施的满意度分别为为</w:t>
      </w:r>
      <w:r>
        <w:t>82.30</w:t>
      </w:r>
      <w:r>
        <w:rPr>
          <w:rFonts w:hint="eastAsia"/>
        </w:rPr>
        <w:t>%</w:t>
      </w:r>
      <w:r>
        <w:rPr>
          <w:rFonts w:hint="eastAsia"/>
        </w:rPr>
        <w:t>和</w:t>
      </w:r>
      <w:r>
        <w:rPr>
          <w:rFonts w:hint="eastAsia"/>
        </w:rPr>
        <w:t>85.71%</w:t>
      </w:r>
      <w:r>
        <w:rPr>
          <w:rFonts w:hint="eastAsia"/>
        </w:rPr>
        <w:t>。</w:t>
      </w:r>
    </w:p>
    <w:p w:rsidR="00603F28" w:rsidRDefault="00041260">
      <w:pPr>
        <w:ind w:firstLineChars="200" w:firstLine="420"/>
      </w:pPr>
      <w:r>
        <w:rPr>
          <w:rFonts w:hint="eastAsia"/>
        </w:rPr>
        <w:t>将实践教学及其基础设施满意度分为五个维度并将其等级量化：“非常满意</w:t>
      </w:r>
      <w:r>
        <w:t>”=5</w:t>
      </w:r>
      <w:r>
        <w:rPr>
          <w:rFonts w:hint="eastAsia"/>
        </w:rPr>
        <w:t>分，</w:t>
      </w:r>
      <w:r>
        <w:t>“</w:t>
      </w:r>
      <w:r>
        <w:rPr>
          <w:rFonts w:hint="eastAsia"/>
        </w:rPr>
        <w:t>满意</w:t>
      </w:r>
      <w:r>
        <w:t>”=4</w:t>
      </w:r>
      <w:r>
        <w:rPr>
          <w:rFonts w:hint="eastAsia"/>
        </w:rPr>
        <w:t>分，</w:t>
      </w:r>
      <w:r>
        <w:t>“</w:t>
      </w:r>
      <w:r>
        <w:rPr>
          <w:rFonts w:hint="eastAsia"/>
        </w:rPr>
        <w:t>比较满意</w:t>
      </w:r>
      <w:r>
        <w:t>”=3</w:t>
      </w:r>
      <w:r>
        <w:rPr>
          <w:rFonts w:hint="eastAsia"/>
        </w:rPr>
        <w:t>分，</w:t>
      </w:r>
      <w:r>
        <w:t>“</w:t>
      </w:r>
      <w:r>
        <w:rPr>
          <w:rFonts w:hint="eastAsia"/>
        </w:rPr>
        <w:t>不太满意</w:t>
      </w:r>
      <w:r>
        <w:t>”=2</w:t>
      </w:r>
      <w:r>
        <w:rPr>
          <w:rFonts w:hint="eastAsia"/>
        </w:rPr>
        <w:t>分，</w:t>
      </w:r>
      <w:r>
        <w:t>“</w:t>
      </w:r>
      <w:r>
        <w:rPr>
          <w:rFonts w:hint="eastAsia"/>
        </w:rPr>
        <w:t>很不满意</w:t>
      </w:r>
      <w:r>
        <w:t>”=1</w:t>
      </w:r>
      <w:r>
        <w:rPr>
          <w:rFonts w:hint="eastAsia"/>
        </w:rPr>
        <w:t>分。得出实践教学平均满意度分数为</w:t>
      </w:r>
      <w:r>
        <w:rPr>
          <w:rFonts w:hint="eastAsia"/>
        </w:rPr>
        <w:t>3.</w:t>
      </w:r>
      <w:r>
        <w:t>39</w:t>
      </w:r>
      <w:r>
        <w:rPr>
          <w:rFonts w:hint="eastAsia"/>
        </w:rPr>
        <w:t>分，基础设施平均满意度分数为</w:t>
      </w:r>
      <w:r>
        <w:rPr>
          <w:rFonts w:hint="eastAsia"/>
        </w:rPr>
        <w:t>3.48</w:t>
      </w:r>
      <w:r>
        <w:rPr>
          <w:rFonts w:hint="eastAsia"/>
        </w:rPr>
        <w:t>分。</w:t>
      </w:r>
    </w:p>
    <w:p w:rsidR="00603F28" w:rsidRDefault="00041260">
      <w:pPr>
        <w:ind w:firstLineChars="200" w:firstLine="420"/>
      </w:pPr>
      <w:r>
        <w:rPr>
          <w:rFonts w:cs="Times New Roman"/>
        </w:rPr>
        <w:t>毕业生对</w:t>
      </w:r>
      <w:r>
        <w:rPr>
          <w:rFonts w:cs="Times New Roman" w:hint="eastAsia"/>
        </w:rPr>
        <w:t>实践教学</w:t>
      </w:r>
      <w:r>
        <w:rPr>
          <w:rFonts w:cs="Times New Roman"/>
        </w:rPr>
        <w:t>满意度</w:t>
      </w:r>
      <w:r>
        <w:rPr>
          <w:rFonts w:cs="Times New Roman" w:hint="eastAsia"/>
        </w:rPr>
        <w:t>高于平均分的专业类别</w:t>
      </w:r>
      <w:r>
        <w:rPr>
          <w:rFonts w:cs="Times New Roman"/>
        </w:rPr>
        <w:t>包括</w:t>
      </w:r>
      <w:r>
        <w:rPr>
          <w:rFonts w:cs="Times New Roman" w:hint="eastAsia"/>
        </w:rPr>
        <w:t>：数学类（</w:t>
      </w:r>
      <w:r>
        <w:rPr>
          <w:rFonts w:cs="Times New Roman"/>
        </w:rPr>
        <w:t>3.89</w:t>
      </w:r>
      <w:r>
        <w:rPr>
          <w:rFonts w:cs="Times New Roman"/>
        </w:rPr>
        <w:t>分</w:t>
      </w:r>
      <w:r>
        <w:rPr>
          <w:rFonts w:cs="Times New Roman" w:hint="eastAsia"/>
        </w:rPr>
        <w:t>）、音乐与舞蹈类（</w:t>
      </w:r>
      <w:r>
        <w:rPr>
          <w:rFonts w:cs="Times New Roman"/>
        </w:rPr>
        <w:t>3.85</w:t>
      </w:r>
      <w:r>
        <w:rPr>
          <w:rFonts w:cs="Times New Roman"/>
        </w:rPr>
        <w:t>分</w:t>
      </w:r>
      <w:r>
        <w:rPr>
          <w:rFonts w:cs="Times New Roman" w:hint="eastAsia"/>
        </w:rPr>
        <w:t>）、经济与贸易类（</w:t>
      </w:r>
      <w:r>
        <w:rPr>
          <w:rFonts w:cs="Times New Roman"/>
        </w:rPr>
        <w:t>3.68</w:t>
      </w:r>
      <w:r>
        <w:rPr>
          <w:rFonts w:cs="Times New Roman"/>
        </w:rPr>
        <w:t>分</w:t>
      </w:r>
      <w:r>
        <w:rPr>
          <w:rFonts w:cs="Times New Roman" w:hint="eastAsia"/>
        </w:rPr>
        <w:t>）、统计学类（</w:t>
      </w:r>
      <w:r>
        <w:rPr>
          <w:rFonts w:cs="Times New Roman"/>
        </w:rPr>
        <w:t>3.65</w:t>
      </w:r>
      <w:r>
        <w:rPr>
          <w:rFonts w:cs="Times New Roman"/>
        </w:rPr>
        <w:t>分</w:t>
      </w:r>
      <w:r>
        <w:rPr>
          <w:rFonts w:cs="Times New Roman" w:hint="eastAsia"/>
        </w:rPr>
        <w:t>）等</w:t>
      </w:r>
      <w:r>
        <w:rPr>
          <w:rFonts w:cs="Times New Roman" w:hint="eastAsia"/>
        </w:rPr>
        <w:t>13</w:t>
      </w:r>
      <w:r>
        <w:rPr>
          <w:rFonts w:cs="Times New Roman" w:hint="eastAsia"/>
        </w:rPr>
        <w:t>个专业类别。</w:t>
      </w:r>
    </w:p>
    <w:p w:rsidR="00603F28" w:rsidRDefault="00041260">
      <w:pPr>
        <w:ind w:firstLineChars="200" w:firstLine="420"/>
      </w:pPr>
      <w:r>
        <w:rPr>
          <w:rFonts w:cs="Times New Roman"/>
        </w:rPr>
        <w:t>毕业生对</w:t>
      </w:r>
      <w:r>
        <w:rPr>
          <w:rFonts w:cs="Times New Roman" w:hint="eastAsia"/>
        </w:rPr>
        <w:t>基础设施</w:t>
      </w:r>
      <w:r>
        <w:rPr>
          <w:rFonts w:cs="Times New Roman"/>
        </w:rPr>
        <w:t>满意度</w:t>
      </w:r>
      <w:r>
        <w:rPr>
          <w:rFonts w:cs="Times New Roman" w:hint="eastAsia"/>
        </w:rPr>
        <w:t>高于平均分的专业类别</w:t>
      </w:r>
      <w:r>
        <w:rPr>
          <w:rFonts w:cs="Times New Roman"/>
        </w:rPr>
        <w:t>包括</w:t>
      </w:r>
      <w:r>
        <w:rPr>
          <w:rFonts w:cs="Times New Roman" w:hint="eastAsia"/>
        </w:rPr>
        <w:t>：数学类（</w:t>
      </w:r>
      <w:r>
        <w:rPr>
          <w:rFonts w:cs="Times New Roman"/>
        </w:rPr>
        <w:t>3.94</w:t>
      </w:r>
      <w:r>
        <w:rPr>
          <w:rFonts w:cs="Times New Roman"/>
        </w:rPr>
        <w:t>分</w:t>
      </w:r>
      <w:r>
        <w:rPr>
          <w:rFonts w:cs="Times New Roman" w:hint="eastAsia"/>
        </w:rPr>
        <w:t>）、音乐与舞蹈类（</w:t>
      </w:r>
      <w:r>
        <w:rPr>
          <w:rFonts w:cs="Times New Roman"/>
        </w:rPr>
        <w:t>3.92</w:t>
      </w:r>
      <w:r>
        <w:rPr>
          <w:rFonts w:cs="Times New Roman"/>
        </w:rPr>
        <w:t>分</w:t>
      </w:r>
      <w:r>
        <w:rPr>
          <w:rFonts w:cs="Times New Roman" w:hint="eastAsia"/>
        </w:rPr>
        <w:t>）、中国语言文学类（</w:t>
      </w:r>
      <w:r>
        <w:rPr>
          <w:rFonts w:cs="Times New Roman"/>
        </w:rPr>
        <w:t>3.75</w:t>
      </w:r>
      <w:r>
        <w:rPr>
          <w:rFonts w:cs="Times New Roman"/>
        </w:rPr>
        <w:t>分</w:t>
      </w:r>
      <w:r>
        <w:rPr>
          <w:rFonts w:cs="Times New Roman" w:hint="eastAsia"/>
        </w:rPr>
        <w:t>）、统计学类（</w:t>
      </w:r>
      <w:r>
        <w:rPr>
          <w:rFonts w:cs="Times New Roman"/>
        </w:rPr>
        <w:t>3.71</w:t>
      </w:r>
      <w:r>
        <w:rPr>
          <w:rFonts w:cs="Times New Roman"/>
        </w:rPr>
        <w:t>分</w:t>
      </w:r>
      <w:r>
        <w:rPr>
          <w:rFonts w:cs="Times New Roman" w:hint="eastAsia"/>
        </w:rPr>
        <w:t>）等</w:t>
      </w:r>
      <w:r>
        <w:rPr>
          <w:rFonts w:cs="Times New Roman" w:hint="eastAsia"/>
        </w:rPr>
        <w:t>13</w:t>
      </w:r>
      <w:r>
        <w:rPr>
          <w:rFonts w:cs="Times New Roman" w:hint="eastAsia"/>
        </w:rPr>
        <w:t>个专业类别。</w:t>
      </w:r>
    </w:p>
    <w:p w:rsidR="00603F28" w:rsidRDefault="00041260">
      <w:pPr>
        <w:keepNext/>
        <w:jc w:val="center"/>
      </w:pPr>
      <w:r>
        <w:rPr>
          <w:noProof/>
        </w:rPr>
        <w:drawing>
          <wp:inline distT="0" distB="0" distL="0" distR="0">
            <wp:extent cx="4732655" cy="4356100"/>
            <wp:effectExtent l="0" t="0" r="0" b="635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738115" cy="4360844"/>
                    </a:xfrm>
                    <a:prstGeom prst="rect">
                      <a:avLst/>
                    </a:prstGeom>
                    <a:noFill/>
                  </pic:spPr>
                </pic:pic>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4</w:t>
      </w:r>
      <w:r>
        <w:fldChar w:fldCharType="end"/>
      </w:r>
      <w:r>
        <w:t xml:space="preserve">  2019</w:t>
      </w:r>
      <w:r>
        <w:rPr>
          <w:rFonts w:hint="eastAsia"/>
        </w:rPr>
        <w:t>届分专业类别本科毕业生对实践教学及其基础设施满意度</w:t>
      </w:r>
    </w:p>
    <w:p w:rsidR="00603F28" w:rsidRDefault="00041260">
      <w:pPr>
        <w:pStyle w:val="4"/>
        <w:ind w:firstLineChars="200" w:firstLine="422"/>
      </w:pPr>
      <w:r>
        <w:rPr>
          <w:rFonts w:hint="eastAsia"/>
        </w:rPr>
        <w:t>2</w:t>
      </w:r>
      <w:r>
        <w:t>.</w:t>
      </w:r>
      <w:r>
        <w:rPr>
          <w:rFonts w:hint="eastAsia"/>
        </w:rPr>
        <w:t>毕业生对实践教学的建议</w:t>
      </w:r>
    </w:p>
    <w:p w:rsidR="00603F28" w:rsidRDefault="00041260">
      <w:pPr>
        <w:ind w:firstLineChars="200" w:firstLine="420"/>
      </w:pPr>
      <w:r>
        <w:rPr>
          <w:rFonts w:hint="eastAsia"/>
        </w:rPr>
        <w:t>2019</w:t>
      </w:r>
      <w:r>
        <w:rPr>
          <w:rFonts w:hint="eastAsia"/>
        </w:rPr>
        <w:t>届本科毕业生对实践教学环节方面的建议主要为加强“专业实习、见习”（</w:t>
      </w:r>
      <w:r>
        <w:rPr>
          <w:rFonts w:hint="eastAsia"/>
        </w:rPr>
        <w:t>27.13%</w:t>
      </w:r>
      <w:r>
        <w:rPr>
          <w:rFonts w:hint="eastAsia"/>
        </w:rPr>
        <w:t>）和“课程的实践性教学（课程作业、实验）”（</w:t>
      </w:r>
      <w:r>
        <w:rPr>
          <w:rFonts w:hint="eastAsia"/>
        </w:rPr>
        <w:t>26.07%</w:t>
      </w:r>
      <w:r>
        <w:rPr>
          <w:rFonts w:hint="eastAsia"/>
        </w:rPr>
        <w:t>）。</w:t>
      </w:r>
    </w:p>
    <w:p w:rsidR="00603F28" w:rsidRDefault="00041260">
      <w:pPr>
        <w:keepNext/>
      </w:pPr>
      <w:r>
        <w:rPr>
          <w:noProof/>
        </w:rPr>
        <w:drawing>
          <wp:inline distT="0" distB="0" distL="0" distR="0">
            <wp:extent cx="5274310" cy="2044065"/>
            <wp:effectExtent l="0" t="0" r="2540" b="0"/>
            <wp:docPr id="78" name="图表 78"/>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5</w:t>
      </w:r>
      <w:r>
        <w:fldChar w:fldCharType="end"/>
      </w:r>
      <w:r>
        <w:t xml:space="preserve">  2019</w:t>
      </w:r>
      <w:r>
        <w:t>届本科毕业生对实践教学的建议</w:t>
      </w:r>
    </w:p>
    <w:p w:rsidR="00603F28" w:rsidRDefault="00041260">
      <w:pPr>
        <w:pStyle w:val="3"/>
      </w:pPr>
      <w:bookmarkStart w:id="118" w:name="_Toc27642658"/>
      <w:r>
        <w:rPr>
          <w:rFonts w:hint="eastAsia"/>
        </w:rPr>
        <w:t>（六）毕业生对就业管理和就业指导服务评价</w:t>
      </w:r>
      <w:bookmarkEnd w:id="118"/>
    </w:p>
    <w:p w:rsidR="00603F28" w:rsidRDefault="00041260">
      <w:pPr>
        <w:pStyle w:val="4"/>
        <w:spacing w:before="120"/>
        <w:ind w:left="480"/>
        <w:rPr>
          <w:color w:val="000000" w:themeColor="text1"/>
        </w:rPr>
      </w:pPr>
      <w:r>
        <w:rPr>
          <w:color w:val="000000" w:themeColor="text1"/>
        </w:rPr>
        <w:t>1</w:t>
      </w:r>
      <w:r>
        <w:rPr>
          <w:rFonts w:hint="eastAsia"/>
          <w:color w:val="000000" w:themeColor="text1"/>
        </w:rPr>
        <w:t>.</w:t>
      </w:r>
      <w:r>
        <w:rPr>
          <w:rFonts w:hint="eastAsia"/>
          <w:color w:val="000000" w:themeColor="text1"/>
        </w:rPr>
        <w:t>就业管理和就业指导服务满意度</w:t>
      </w:r>
    </w:p>
    <w:p w:rsidR="00603F28" w:rsidRDefault="00041260">
      <w:pPr>
        <w:ind w:firstLineChars="200" w:firstLine="420"/>
      </w:pPr>
      <w:r>
        <w:rPr>
          <w:rFonts w:hint="eastAsia"/>
        </w:rPr>
        <w:t>2019</w:t>
      </w:r>
      <w:r>
        <w:rPr>
          <w:rFonts w:hint="eastAsia"/>
        </w:rPr>
        <w:t>届本科毕业生对母校就业管理和就业指导服务的总体满意度为</w:t>
      </w:r>
      <w:r>
        <w:rPr>
          <w:rFonts w:hint="eastAsia"/>
        </w:rPr>
        <w:t>89.</w:t>
      </w:r>
      <w:r>
        <w:t>79</w:t>
      </w:r>
      <w:r>
        <w:rPr>
          <w:rFonts w:hint="eastAsia"/>
        </w:rPr>
        <w:t>%</w:t>
      </w:r>
      <w:r>
        <w:rPr>
          <w:rFonts w:hint="eastAsia"/>
        </w:rPr>
        <w:t>。</w:t>
      </w:r>
    </w:p>
    <w:p w:rsidR="00603F28" w:rsidRDefault="00041260">
      <w:pPr>
        <w:ind w:firstLineChars="200" w:firstLine="420"/>
      </w:pPr>
      <w:r>
        <w:rPr>
          <w:rFonts w:hint="eastAsia"/>
        </w:rPr>
        <w:t>分专业类别来看，音乐与舞蹈学类、中国语言文学类等</w:t>
      </w:r>
      <w:r>
        <w:rPr>
          <w:rFonts w:hint="eastAsia"/>
        </w:rPr>
        <w:t>13</w:t>
      </w:r>
      <w:r>
        <w:rPr>
          <w:rFonts w:hint="eastAsia"/>
        </w:rPr>
        <w:t>个专业类别的满意度在</w:t>
      </w:r>
      <w:r>
        <w:rPr>
          <w:rFonts w:hint="eastAsia"/>
        </w:rPr>
        <w:t>90%</w:t>
      </w:r>
      <w:r>
        <w:rPr>
          <w:rFonts w:hint="eastAsia"/>
        </w:rPr>
        <w:t>以上。其中，金融学类和会计学类专业毕业</w:t>
      </w:r>
      <w:r>
        <w:rPr>
          <w:rFonts w:hint="eastAsia"/>
        </w:rPr>
        <w:t>生的就业管理和就业指导服务的满意度分别为</w:t>
      </w:r>
      <w:r>
        <w:rPr>
          <w:rFonts w:hint="eastAsia"/>
        </w:rPr>
        <w:t>90.22%</w:t>
      </w:r>
      <w:r>
        <w:rPr>
          <w:rFonts w:hint="eastAsia"/>
        </w:rPr>
        <w:t>和</w:t>
      </w:r>
      <w:r>
        <w:rPr>
          <w:rFonts w:hint="eastAsia"/>
        </w:rPr>
        <w:t>88.19%</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9</w:t>
      </w:r>
      <w:r>
        <w:fldChar w:fldCharType="end"/>
      </w:r>
      <w:r>
        <w:t xml:space="preserve">  2019</w:t>
      </w:r>
      <w:r>
        <w:t>届分专业类别本科毕业生对</w:t>
      </w:r>
      <w:r>
        <w:rPr>
          <w:rFonts w:hint="eastAsia"/>
        </w:rPr>
        <w:t>就业管理和就业指导服务的满意度</w:t>
      </w:r>
    </w:p>
    <w:tbl>
      <w:tblPr>
        <w:tblW w:w="5000" w:type="pct"/>
        <w:tblLook w:val="04A0" w:firstRow="1" w:lastRow="0" w:firstColumn="1" w:lastColumn="0" w:noHBand="0" w:noVBand="1"/>
      </w:tblPr>
      <w:tblGrid>
        <w:gridCol w:w="767"/>
        <w:gridCol w:w="3381"/>
        <w:gridCol w:w="4148"/>
      </w:tblGrid>
      <w:tr w:rsidR="00603F28">
        <w:trPr>
          <w:trHeight w:val="300"/>
          <w:tblHeader/>
        </w:trPr>
        <w:tc>
          <w:tcPr>
            <w:tcW w:w="462"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序号</w:t>
            </w:r>
          </w:p>
        </w:tc>
        <w:tc>
          <w:tcPr>
            <w:tcW w:w="203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二级学科分类</w:t>
            </w:r>
          </w:p>
        </w:tc>
        <w:tc>
          <w:tcPr>
            <w:tcW w:w="2500"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就业管理和就业指导服务满意度</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音乐与舞蹈学类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中国语言文学类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100.00%</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电子商务类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98.04%</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经济与贸易类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96.23%</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数学类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94.44%</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统计学类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94.12%</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公共管理类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93.10%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社会学类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92.86%</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电子信息类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91.30%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10</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工商管理类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90.87%</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11</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法学类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90.65%</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12</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金融学类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90.22%</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13</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计算机类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90.00%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财政学类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89.62%</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15</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体育学类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88.46%</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16</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外国语言文学类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88.37%</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17</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会计学类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88.19%</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18</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经济学类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87.66%</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19</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设计学类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87.50%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物流管理与工程类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87.50%</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21</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管理科学与工程类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83.90%</w:t>
            </w:r>
          </w:p>
        </w:tc>
      </w:tr>
      <w:tr w:rsidR="00603F28">
        <w:trPr>
          <w:trHeight w:val="300"/>
        </w:trPr>
        <w:tc>
          <w:tcPr>
            <w:tcW w:w="462"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22</w:t>
            </w:r>
          </w:p>
        </w:tc>
        <w:tc>
          <w:tcPr>
            <w:tcW w:w="203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旅游管理类</w:t>
            </w:r>
          </w:p>
        </w:tc>
        <w:tc>
          <w:tcPr>
            <w:tcW w:w="250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72.73%</w:t>
            </w:r>
          </w:p>
        </w:tc>
      </w:tr>
      <w:tr w:rsidR="00603F28">
        <w:trPr>
          <w:trHeight w:val="300"/>
        </w:trPr>
        <w:tc>
          <w:tcPr>
            <w:tcW w:w="462"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w:t>
            </w:r>
          </w:p>
        </w:tc>
        <w:tc>
          <w:tcPr>
            <w:tcW w:w="203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新闻传播学类</w:t>
            </w:r>
          </w:p>
        </w:tc>
        <w:tc>
          <w:tcPr>
            <w:tcW w:w="250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68.75%</w:t>
            </w:r>
          </w:p>
        </w:tc>
      </w:tr>
    </w:tbl>
    <w:p w:rsidR="00603F28" w:rsidRDefault="00041260">
      <w:pPr>
        <w:pStyle w:val="4"/>
        <w:spacing w:before="120"/>
        <w:ind w:left="480"/>
        <w:rPr>
          <w:color w:val="000000" w:themeColor="text1"/>
        </w:rPr>
      </w:pPr>
      <w:r>
        <w:rPr>
          <w:rFonts w:hint="eastAsia"/>
          <w:color w:val="000000" w:themeColor="text1"/>
        </w:rPr>
        <w:t>2.</w:t>
      </w:r>
      <w:r>
        <w:rPr>
          <w:rFonts w:hint="eastAsia"/>
          <w:color w:val="000000" w:themeColor="text1"/>
        </w:rPr>
        <w:t>毕业生对就业服务的评价</w:t>
      </w:r>
    </w:p>
    <w:p w:rsidR="00603F28" w:rsidRDefault="00041260">
      <w:pPr>
        <w:ind w:firstLineChars="200" w:firstLine="420"/>
      </w:pPr>
      <w:r>
        <w:rPr>
          <w:rFonts w:hint="eastAsia"/>
        </w:rPr>
        <w:t>2019</w:t>
      </w:r>
      <w:r>
        <w:rPr>
          <w:rFonts w:hint="eastAsia"/>
        </w:rPr>
        <w:t>届本科毕业生认为母校在就业管理和就业指导服务方面做得较好的方面有“就业信息提供与发布”（</w:t>
      </w:r>
      <w:r>
        <w:rPr>
          <w:rFonts w:hint="eastAsia"/>
        </w:rPr>
        <w:t>4.03</w:t>
      </w:r>
      <w:r>
        <w:rPr>
          <w:rFonts w:hint="eastAsia"/>
        </w:rPr>
        <w:t>分）和“校园招聘活动”（</w:t>
      </w:r>
      <w:r>
        <w:rPr>
          <w:rFonts w:hint="eastAsia"/>
        </w:rPr>
        <w:t>4.02</w:t>
      </w:r>
      <w:r>
        <w:rPr>
          <w:rFonts w:hint="eastAsia"/>
        </w:rPr>
        <w:t>分）；需要加强的方面有“就业心理辅导”（</w:t>
      </w:r>
      <w:r>
        <w:rPr>
          <w:rFonts w:hint="eastAsia"/>
        </w:rPr>
        <w:t>3.68</w:t>
      </w:r>
      <w:r>
        <w:rPr>
          <w:rFonts w:hint="eastAsia"/>
        </w:rPr>
        <w:t>分）和“职业咨询</w:t>
      </w:r>
      <w:r>
        <w:rPr>
          <w:rFonts w:hint="eastAsia"/>
        </w:rPr>
        <w:t>/</w:t>
      </w:r>
      <w:r>
        <w:rPr>
          <w:rFonts w:hint="eastAsia"/>
        </w:rPr>
        <w:t>辅导”（</w:t>
      </w:r>
      <w:r>
        <w:rPr>
          <w:rFonts w:hint="eastAsia"/>
        </w:rPr>
        <w:t>3.72</w:t>
      </w:r>
      <w:r>
        <w:rPr>
          <w:rFonts w:hint="eastAsia"/>
        </w:rPr>
        <w:t>分）等。</w:t>
      </w:r>
    </w:p>
    <w:p w:rsidR="00603F28" w:rsidRDefault="00041260">
      <w:pPr>
        <w:keepNext/>
      </w:pPr>
      <w:r>
        <w:rPr>
          <w:noProof/>
        </w:rPr>
        <w:drawing>
          <wp:inline distT="0" distB="0" distL="0" distR="0">
            <wp:extent cx="5274310" cy="2647950"/>
            <wp:effectExtent l="0" t="0" r="2540" b="0"/>
            <wp:docPr id="83" name="图表 83"/>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6</w:t>
      </w:r>
      <w:r>
        <w:fldChar w:fldCharType="end"/>
      </w:r>
      <w:r>
        <w:t xml:space="preserve">  2019</w:t>
      </w:r>
      <w:r>
        <w:t>届本科毕业生对就业服务的评价</w:t>
      </w:r>
    </w:p>
    <w:p w:rsidR="00603F28" w:rsidRDefault="00041260">
      <w:pPr>
        <w:pStyle w:val="4"/>
        <w:spacing w:before="120"/>
        <w:ind w:left="480"/>
        <w:rPr>
          <w:color w:val="000000" w:themeColor="text1"/>
        </w:rPr>
      </w:pPr>
      <w:r>
        <w:rPr>
          <w:rFonts w:hint="eastAsia"/>
          <w:color w:val="000000" w:themeColor="text1"/>
        </w:rPr>
        <w:t>3.</w:t>
      </w:r>
      <w:r>
        <w:rPr>
          <w:rFonts w:hint="eastAsia"/>
          <w:color w:val="000000" w:themeColor="text1"/>
        </w:rPr>
        <w:t>毕业生对就业管理与就业指导服务的建议</w:t>
      </w:r>
    </w:p>
    <w:p w:rsidR="00603F28" w:rsidRDefault="00041260">
      <w:pPr>
        <w:ind w:firstLineChars="200" w:firstLine="420"/>
      </w:pPr>
      <w:r>
        <w:rPr>
          <w:rFonts w:hint="eastAsia"/>
        </w:rPr>
        <w:t>2019</w:t>
      </w:r>
      <w:r>
        <w:rPr>
          <w:rFonts w:hint="eastAsia"/>
        </w:rPr>
        <w:t>届本科毕业生认为母校在就业管理和就业指导服务应该着重改进的方面是“相关实践类活动太少”（</w:t>
      </w:r>
      <w:r>
        <w:rPr>
          <w:rFonts w:hint="eastAsia"/>
        </w:rPr>
        <w:t>36.44%</w:t>
      </w:r>
      <w:r>
        <w:rPr>
          <w:rFonts w:hint="eastAsia"/>
        </w:rPr>
        <w:t>）、“相关教</w:t>
      </w:r>
      <w:r>
        <w:rPr>
          <w:rFonts w:hint="eastAsia"/>
        </w:rPr>
        <w:t>育课程不足”（</w:t>
      </w:r>
      <w:r>
        <w:rPr>
          <w:rFonts w:hint="eastAsia"/>
        </w:rPr>
        <w:t>25.97%</w:t>
      </w:r>
      <w:r>
        <w:rPr>
          <w:rFonts w:hint="eastAsia"/>
        </w:rPr>
        <w:t>）和“教学方法太过陈旧”（</w:t>
      </w:r>
      <w:r>
        <w:rPr>
          <w:rFonts w:hint="eastAsia"/>
        </w:rPr>
        <w:t>21.81%</w:t>
      </w:r>
      <w:r>
        <w:rPr>
          <w:rFonts w:hint="eastAsia"/>
        </w:rPr>
        <w:t>）。</w:t>
      </w:r>
    </w:p>
    <w:p w:rsidR="00603F28" w:rsidRDefault="00041260">
      <w:pPr>
        <w:keepNext/>
      </w:pPr>
      <w:r>
        <w:rPr>
          <w:noProof/>
        </w:rPr>
        <w:drawing>
          <wp:inline distT="0" distB="0" distL="0" distR="0">
            <wp:extent cx="5425440" cy="3001645"/>
            <wp:effectExtent l="0" t="0" r="3810" b="8255"/>
            <wp:docPr id="88" name="图表 88"/>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7</w:t>
      </w:r>
      <w:r>
        <w:fldChar w:fldCharType="end"/>
      </w:r>
      <w:r>
        <w:t xml:space="preserve">  2019</w:t>
      </w:r>
      <w:r>
        <w:t>届本科毕业生对就业管理与就业指导服务的建议</w:t>
      </w:r>
    </w:p>
    <w:p w:rsidR="00603F28" w:rsidRDefault="00041260">
      <w:pPr>
        <w:pStyle w:val="4"/>
        <w:spacing w:before="120"/>
        <w:ind w:left="480"/>
        <w:rPr>
          <w:color w:val="000000" w:themeColor="text1"/>
        </w:rPr>
      </w:pPr>
      <w:r>
        <w:rPr>
          <w:rFonts w:hint="eastAsia"/>
          <w:color w:val="000000" w:themeColor="text1"/>
        </w:rPr>
        <w:t>4.</w:t>
      </w:r>
      <w:r>
        <w:rPr>
          <w:rFonts w:hint="eastAsia"/>
          <w:color w:val="000000" w:themeColor="text1"/>
        </w:rPr>
        <w:t>毕业生希望母校提供的就业指导服务</w:t>
      </w:r>
    </w:p>
    <w:p w:rsidR="00603F28" w:rsidRDefault="00041260">
      <w:pPr>
        <w:ind w:firstLineChars="200" w:firstLine="420"/>
      </w:pPr>
      <w:r>
        <w:rPr>
          <w:rFonts w:hint="eastAsia"/>
        </w:rPr>
        <w:t>2019</w:t>
      </w:r>
      <w:r>
        <w:rPr>
          <w:rFonts w:hint="eastAsia"/>
        </w:rPr>
        <w:t>届本科毕业生希望母校提供的就业指导服务主要有“提供实习岗位”（</w:t>
      </w:r>
      <w:r>
        <w:rPr>
          <w:rFonts w:hint="eastAsia"/>
        </w:rPr>
        <w:t>23.11%</w:t>
      </w:r>
      <w:r>
        <w:rPr>
          <w:rFonts w:hint="eastAsia"/>
        </w:rPr>
        <w:t>）、“求职、面试技巧培训”（</w:t>
      </w:r>
      <w:r>
        <w:rPr>
          <w:rFonts w:hint="eastAsia"/>
        </w:rPr>
        <w:t>20.75%</w:t>
      </w:r>
      <w:r>
        <w:rPr>
          <w:rFonts w:hint="eastAsia"/>
        </w:rPr>
        <w:t>）和“优秀就业生返校交流会”（</w:t>
      </w:r>
      <w:r>
        <w:rPr>
          <w:rFonts w:hint="eastAsia"/>
        </w:rPr>
        <w:t>14.77%</w:t>
      </w:r>
      <w:r>
        <w:rPr>
          <w:rFonts w:hint="eastAsia"/>
        </w:rPr>
        <w:t>）。</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10</w:t>
      </w:r>
      <w:r>
        <w:fldChar w:fldCharType="end"/>
      </w:r>
      <w:r>
        <w:t xml:space="preserve">  2019</w:t>
      </w:r>
      <w:r>
        <w:t>届本科毕业生希望母校提供的就业指导服务</w:t>
      </w:r>
    </w:p>
    <w:tbl>
      <w:tblPr>
        <w:tblW w:w="5000" w:type="pct"/>
        <w:tblLook w:val="04A0" w:firstRow="1" w:lastRow="0" w:firstColumn="1" w:lastColumn="0" w:noHBand="0" w:noVBand="1"/>
      </w:tblPr>
      <w:tblGrid>
        <w:gridCol w:w="5995"/>
        <w:gridCol w:w="2301"/>
      </w:tblGrid>
      <w:tr w:rsidR="00603F28">
        <w:trPr>
          <w:trHeight w:val="300"/>
        </w:trPr>
        <w:tc>
          <w:tcPr>
            <w:tcW w:w="3613"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就业指导服务</w:t>
            </w:r>
          </w:p>
        </w:tc>
        <w:tc>
          <w:tcPr>
            <w:tcW w:w="1387"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比例</w:t>
            </w:r>
          </w:p>
        </w:tc>
      </w:tr>
      <w:tr w:rsidR="00603F28">
        <w:trPr>
          <w:trHeight w:val="300"/>
        </w:trPr>
        <w:tc>
          <w:tcPr>
            <w:tcW w:w="36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提供实习岗位</w:t>
            </w:r>
          </w:p>
        </w:tc>
        <w:tc>
          <w:tcPr>
            <w:tcW w:w="13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23.11%</w:t>
            </w:r>
          </w:p>
        </w:tc>
      </w:tr>
      <w:tr w:rsidR="00603F28">
        <w:trPr>
          <w:trHeight w:val="300"/>
        </w:trPr>
        <w:tc>
          <w:tcPr>
            <w:tcW w:w="36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求职、面试技巧培训</w:t>
            </w:r>
          </w:p>
        </w:tc>
        <w:tc>
          <w:tcPr>
            <w:tcW w:w="13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20.75%</w:t>
            </w:r>
          </w:p>
        </w:tc>
      </w:tr>
      <w:tr w:rsidR="00603F28">
        <w:trPr>
          <w:trHeight w:val="300"/>
        </w:trPr>
        <w:tc>
          <w:tcPr>
            <w:tcW w:w="36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优秀就业生返校交流会</w:t>
            </w:r>
          </w:p>
        </w:tc>
        <w:tc>
          <w:tcPr>
            <w:tcW w:w="13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14.77%</w:t>
            </w:r>
          </w:p>
        </w:tc>
      </w:tr>
      <w:tr w:rsidR="00603F28">
        <w:trPr>
          <w:trHeight w:val="300"/>
        </w:trPr>
        <w:tc>
          <w:tcPr>
            <w:tcW w:w="36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知名企业家就业指导讲座</w:t>
            </w:r>
          </w:p>
        </w:tc>
        <w:tc>
          <w:tcPr>
            <w:tcW w:w="13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9.43%</w:t>
            </w:r>
          </w:p>
        </w:tc>
      </w:tr>
      <w:tr w:rsidR="00603F28">
        <w:trPr>
          <w:trHeight w:val="300"/>
        </w:trPr>
        <w:tc>
          <w:tcPr>
            <w:tcW w:w="36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就业指导课程</w:t>
            </w:r>
          </w:p>
        </w:tc>
        <w:tc>
          <w:tcPr>
            <w:tcW w:w="13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8.22%</w:t>
            </w:r>
          </w:p>
        </w:tc>
      </w:tr>
      <w:tr w:rsidR="00603F28">
        <w:trPr>
          <w:trHeight w:val="300"/>
        </w:trPr>
        <w:tc>
          <w:tcPr>
            <w:tcW w:w="36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简历制作大赛</w:t>
            </w:r>
          </w:p>
        </w:tc>
        <w:tc>
          <w:tcPr>
            <w:tcW w:w="13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6.55%</w:t>
            </w:r>
          </w:p>
        </w:tc>
      </w:tr>
      <w:tr w:rsidR="00603F28">
        <w:trPr>
          <w:trHeight w:val="300"/>
        </w:trPr>
        <w:tc>
          <w:tcPr>
            <w:tcW w:w="36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劳动者权益与法律保护讲座</w:t>
            </w:r>
          </w:p>
        </w:tc>
        <w:tc>
          <w:tcPr>
            <w:tcW w:w="13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6.32%</w:t>
            </w:r>
          </w:p>
        </w:tc>
      </w:tr>
      <w:tr w:rsidR="00603F28">
        <w:trPr>
          <w:trHeight w:val="300"/>
        </w:trPr>
        <w:tc>
          <w:tcPr>
            <w:tcW w:w="36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就业心理辅导</w:t>
            </w:r>
          </w:p>
        </w:tc>
        <w:tc>
          <w:tcPr>
            <w:tcW w:w="13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5.54%</w:t>
            </w:r>
          </w:p>
        </w:tc>
      </w:tr>
      <w:tr w:rsidR="00603F28">
        <w:trPr>
          <w:trHeight w:val="300"/>
        </w:trPr>
        <w:tc>
          <w:tcPr>
            <w:tcW w:w="3613"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职业规划比赛</w:t>
            </w:r>
          </w:p>
        </w:tc>
        <w:tc>
          <w:tcPr>
            <w:tcW w:w="1387"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4.44%</w:t>
            </w:r>
          </w:p>
        </w:tc>
      </w:tr>
      <w:tr w:rsidR="00603F28">
        <w:trPr>
          <w:trHeight w:val="300"/>
        </w:trPr>
        <w:tc>
          <w:tcPr>
            <w:tcW w:w="3613"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其他</w:t>
            </w:r>
          </w:p>
        </w:tc>
        <w:tc>
          <w:tcPr>
            <w:tcW w:w="1387"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0.88%</w:t>
            </w:r>
          </w:p>
        </w:tc>
      </w:tr>
    </w:tbl>
    <w:p w:rsidR="00603F28" w:rsidRDefault="00041260">
      <w:pPr>
        <w:pStyle w:val="3"/>
      </w:pPr>
      <w:bookmarkStart w:id="119" w:name="_Toc27642659"/>
      <w:r>
        <w:rPr>
          <w:rFonts w:hint="eastAsia"/>
        </w:rPr>
        <w:t>（七）母校培养对毕业生综合素质提升</w:t>
      </w:r>
      <w:bookmarkEnd w:id="119"/>
    </w:p>
    <w:p w:rsidR="00603F28" w:rsidRDefault="00041260">
      <w:pPr>
        <w:ind w:firstLineChars="200" w:firstLine="420"/>
      </w:pPr>
      <w:r>
        <w:rPr>
          <w:rFonts w:hint="eastAsia"/>
        </w:rPr>
        <w:t>2019</w:t>
      </w:r>
      <w:r>
        <w:rPr>
          <w:rFonts w:hint="eastAsia"/>
        </w:rPr>
        <w:t>届本科毕业生认为母校培养对自身工作能力的提升主要体现在“环境适应能力”（</w:t>
      </w:r>
      <w:r>
        <w:rPr>
          <w:rFonts w:hint="eastAsia"/>
        </w:rPr>
        <w:t>3.97</w:t>
      </w:r>
      <w:r>
        <w:rPr>
          <w:rFonts w:hint="eastAsia"/>
        </w:rPr>
        <w:t>分）、“学习能力”（</w:t>
      </w:r>
      <w:r>
        <w:rPr>
          <w:rFonts w:hint="eastAsia"/>
        </w:rPr>
        <w:t>3.96</w:t>
      </w:r>
      <w:r>
        <w:rPr>
          <w:rFonts w:hint="eastAsia"/>
        </w:rPr>
        <w:t>分）、“抗压能力”（</w:t>
      </w:r>
      <w:r>
        <w:rPr>
          <w:rFonts w:hint="eastAsia"/>
        </w:rPr>
        <w:t>3.95</w:t>
      </w:r>
      <w:r>
        <w:rPr>
          <w:rFonts w:hint="eastAsia"/>
        </w:rPr>
        <w:t>分）和“团队合作能力”（</w:t>
      </w:r>
      <w:r>
        <w:rPr>
          <w:rFonts w:hint="eastAsia"/>
        </w:rPr>
        <w:t>3.94</w:t>
      </w:r>
      <w:r>
        <w:rPr>
          <w:rFonts w:hint="eastAsia"/>
        </w:rPr>
        <w:t>分）等；对个人素质的提升主要体现在“责任感”（</w:t>
      </w:r>
      <w:r>
        <w:t>4.17</w:t>
      </w:r>
      <w:r>
        <w:rPr>
          <w:rFonts w:hint="eastAsia"/>
        </w:rPr>
        <w:t>分）、“待人真诚”（</w:t>
      </w:r>
      <w:r>
        <w:t>4.16</w:t>
      </w:r>
      <w:r>
        <w:rPr>
          <w:rFonts w:hint="eastAsia"/>
        </w:rPr>
        <w:t>分）、“诚实守信”（</w:t>
      </w:r>
      <w:r>
        <w:t>4.15</w:t>
      </w:r>
      <w:r>
        <w:rPr>
          <w:rFonts w:hint="eastAsia"/>
        </w:rPr>
        <w:t>分）和“乐于助人”（</w:t>
      </w:r>
      <w:r>
        <w:t>4.14</w:t>
      </w:r>
      <w:r>
        <w:rPr>
          <w:rFonts w:hint="eastAsia"/>
        </w:rPr>
        <w:t>分）等；对可持续发展能力的提升主要体现在“良好的心理素质”（</w:t>
      </w:r>
      <w:r>
        <w:t>4.05</w:t>
      </w:r>
      <w:r>
        <w:rPr>
          <w:rFonts w:hint="eastAsia"/>
        </w:rPr>
        <w:t>分）和“持续学习能力”（</w:t>
      </w:r>
      <w:r>
        <w:rPr>
          <w:rFonts w:hint="eastAsia"/>
        </w:rPr>
        <w:t>4.02</w:t>
      </w:r>
      <w:r>
        <w:rPr>
          <w:rFonts w:hint="eastAsia"/>
        </w:rPr>
        <w:t>分）等。</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11</w:t>
      </w:r>
      <w:r>
        <w:fldChar w:fldCharType="end"/>
      </w:r>
      <w:r>
        <w:t xml:space="preserve">  2019</w:t>
      </w:r>
      <w:r>
        <w:t>届本科毕业生</w:t>
      </w:r>
      <w:r>
        <w:rPr>
          <w:rFonts w:hint="eastAsia"/>
        </w:rPr>
        <w:t>认为母校培养对综合素质的提升</w:t>
      </w:r>
    </w:p>
    <w:tbl>
      <w:tblPr>
        <w:tblW w:w="5000" w:type="pct"/>
        <w:tblLook w:val="04A0" w:firstRow="1" w:lastRow="0" w:firstColumn="1" w:lastColumn="0" w:noHBand="0" w:noVBand="1"/>
      </w:tblPr>
      <w:tblGrid>
        <w:gridCol w:w="1523"/>
        <w:gridCol w:w="1125"/>
        <w:gridCol w:w="1523"/>
        <w:gridCol w:w="1125"/>
        <w:gridCol w:w="1875"/>
        <w:gridCol w:w="1125"/>
      </w:tblGrid>
      <w:tr w:rsidR="00603F28">
        <w:trPr>
          <w:trHeight w:val="300"/>
        </w:trPr>
        <w:tc>
          <w:tcPr>
            <w:tcW w:w="918" w:type="pct"/>
            <w:tcBorders>
              <w:top w:val="single" w:sz="4" w:space="0" w:color="auto"/>
              <w:left w:val="single" w:sz="4" w:space="0" w:color="auto"/>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工作能力</w:t>
            </w:r>
          </w:p>
        </w:tc>
        <w:tc>
          <w:tcPr>
            <w:tcW w:w="67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平均分</w:t>
            </w:r>
          </w:p>
        </w:tc>
        <w:tc>
          <w:tcPr>
            <w:tcW w:w="91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个人素质</w:t>
            </w:r>
          </w:p>
        </w:tc>
        <w:tc>
          <w:tcPr>
            <w:tcW w:w="67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平均分</w:t>
            </w:r>
          </w:p>
        </w:tc>
        <w:tc>
          <w:tcPr>
            <w:tcW w:w="1130"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可持续发展能力</w:t>
            </w:r>
          </w:p>
        </w:tc>
        <w:tc>
          <w:tcPr>
            <w:tcW w:w="678" w:type="pct"/>
            <w:tcBorders>
              <w:top w:val="single" w:sz="4" w:space="0" w:color="auto"/>
              <w:left w:val="nil"/>
              <w:bottom w:val="single" w:sz="4" w:space="0" w:color="auto"/>
              <w:right w:val="single" w:sz="4" w:space="0" w:color="auto"/>
            </w:tcBorders>
            <w:shd w:val="clear" w:color="DDEBF7"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平均分</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环境适应能力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3.97</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责任感</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4.17</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创新与发展能力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3.88</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学习能力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3.96</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待人真诚</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4.16</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实践能力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3.92</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抗压能力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3.95</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诚实守信</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4.15</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持续学习能力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4.02</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团队合作能力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3.94</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敬业精神</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4.14</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良好的心理素质</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4.05</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执行力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3.92</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乐于助人</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4.14</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人际交往能力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3.91</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严谨踏实</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4.13</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专业技术能力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3.89</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忠诚度</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4.12</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沟通表达能力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3.89</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谦虚好学</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4.1</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逻辑分析能力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3.88</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健康心理</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4.08</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组织管理能力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3.86</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具备人文精神</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4.07</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领导力</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3.79</w:t>
            </w:r>
          </w:p>
        </w:tc>
        <w:tc>
          <w:tcPr>
            <w:tcW w:w="91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具备大局观</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4.06</w:t>
            </w:r>
          </w:p>
        </w:tc>
        <w:tc>
          <w:tcPr>
            <w:tcW w:w="1130"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r w:rsidR="00603F28">
        <w:trPr>
          <w:trHeight w:val="300"/>
        </w:trPr>
        <w:tc>
          <w:tcPr>
            <w:tcW w:w="918"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创新发展能力</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3.74</w:t>
            </w:r>
          </w:p>
        </w:tc>
        <w:tc>
          <w:tcPr>
            <w:tcW w:w="91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具备危机意识</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4.04</w:t>
            </w:r>
          </w:p>
        </w:tc>
        <w:tc>
          <w:tcPr>
            <w:tcW w:w="1130"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c>
          <w:tcPr>
            <w:tcW w:w="678"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w:t>
            </w:r>
          </w:p>
        </w:tc>
      </w:tr>
    </w:tbl>
    <w:p w:rsidR="00603F28" w:rsidRDefault="00041260">
      <w:pPr>
        <w:pStyle w:val="2"/>
        <w:spacing w:before="0" w:after="0" w:line="360" w:lineRule="auto"/>
        <w:jc w:val="left"/>
      </w:pPr>
      <w:bookmarkStart w:id="120" w:name="_Toc27642660"/>
      <w:r>
        <w:rPr>
          <w:rFonts w:hint="eastAsia"/>
        </w:rPr>
        <w:t>二、用人单位评价</w:t>
      </w:r>
      <w:bookmarkEnd w:id="120"/>
    </w:p>
    <w:p w:rsidR="00603F28" w:rsidRDefault="00041260">
      <w:pPr>
        <w:ind w:firstLineChars="200" w:firstLine="420"/>
      </w:pPr>
      <w:r>
        <w:rPr>
          <w:rFonts w:ascii="宋体" w:hAnsi="宋体" w:hint="eastAsia"/>
        </w:rPr>
        <w:t>用人单位评价</w:t>
      </w:r>
      <w:r>
        <w:rPr>
          <w:rFonts w:ascii="宋体" w:hAnsi="宋体" w:cs="宋体" w:hint="eastAsia"/>
        </w:rPr>
        <w:t>主要从用人单位基本情况、用人单位招聘需求情况、用人单位对毕业生的评价、用人单位对学校的评价四个方面展开。</w:t>
      </w:r>
    </w:p>
    <w:p w:rsidR="00603F28" w:rsidRDefault="00041260">
      <w:pPr>
        <w:pStyle w:val="3"/>
        <w:rPr>
          <w:color w:val="000000" w:themeColor="text1"/>
        </w:rPr>
      </w:pPr>
      <w:bookmarkStart w:id="121" w:name="_Toc27642661"/>
      <w:r>
        <w:rPr>
          <w:rFonts w:ascii="宋体" w:hAnsi="宋体" w:hint="eastAsia"/>
          <w:color w:val="000000" w:themeColor="text1"/>
        </w:rPr>
        <w:t>（一）用人单位基本情况</w:t>
      </w:r>
      <w:bookmarkEnd w:id="121"/>
    </w:p>
    <w:p w:rsidR="00603F28" w:rsidRDefault="00041260">
      <w:pPr>
        <w:pStyle w:val="4"/>
        <w:spacing w:before="120"/>
        <w:ind w:left="480"/>
        <w:rPr>
          <w:color w:val="000000" w:themeColor="text1"/>
        </w:rPr>
      </w:pPr>
      <w:r>
        <w:rPr>
          <w:color w:val="000000" w:themeColor="text1"/>
        </w:rPr>
        <w:t>1</w:t>
      </w:r>
      <w:r>
        <w:rPr>
          <w:rFonts w:hint="eastAsia"/>
          <w:color w:val="000000" w:themeColor="text1"/>
        </w:rPr>
        <w:t>.</w:t>
      </w:r>
      <w:r>
        <w:rPr>
          <w:rFonts w:hint="eastAsia"/>
          <w:color w:val="000000" w:themeColor="text1"/>
        </w:rPr>
        <w:t>单位规模</w:t>
      </w:r>
    </w:p>
    <w:p w:rsidR="00603F28" w:rsidRDefault="00041260">
      <w:pPr>
        <w:ind w:firstLineChars="200" w:firstLine="420"/>
      </w:pPr>
      <w:r>
        <w:rPr>
          <w:rFonts w:hint="eastAsia"/>
        </w:rPr>
        <w:t>用人单位规模在“</w:t>
      </w:r>
      <w:r>
        <w:t>1000</w:t>
      </w:r>
      <w:r>
        <w:rPr>
          <w:rFonts w:hint="eastAsia"/>
        </w:rPr>
        <w:t>-</w:t>
      </w:r>
      <w:r>
        <w:t>9999</w:t>
      </w:r>
      <w:r>
        <w:rPr>
          <w:rFonts w:hint="eastAsia"/>
        </w:rPr>
        <w:t>人”的用人单位居多，占比</w:t>
      </w:r>
      <w:r>
        <w:t>36.01</w:t>
      </w:r>
      <w:r>
        <w:rPr>
          <w:rFonts w:hint="eastAsia"/>
        </w:rPr>
        <w:t>%</w:t>
      </w:r>
      <w:r>
        <w:rPr>
          <w:rFonts w:hint="eastAsia"/>
        </w:rPr>
        <w:t>；其次是“</w:t>
      </w:r>
      <w:r>
        <w:t>100</w:t>
      </w:r>
      <w:r>
        <w:rPr>
          <w:rFonts w:hint="eastAsia"/>
        </w:rPr>
        <w:t>-</w:t>
      </w:r>
      <w:r>
        <w:t>499</w:t>
      </w:r>
      <w:r>
        <w:rPr>
          <w:rFonts w:hint="eastAsia"/>
        </w:rPr>
        <w:t>人”，占比</w:t>
      </w:r>
      <w:r>
        <w:rPr>
          <w:rFonts w:hint="eastAsia"/>
        </w:rPr>
        <w:t>2</w:t>
      </w:r>
      <w:r>
        <w:t>1.52</w:t>
      </w:r>
      <w:r>
        <w:rPr>
          <w:rFonts w:hint="eastAsia"/>
        </w:rPr>
        <w:t>%</w:t>
      </w:r>
      <w:r>
        <w:rPr>
          <w:rFonts w:hint="eastAsia"/>
        </w:rPr>
        <w:t>。可见来校招聘的用人单位以中、大型规模单位为主。</w:t>
      </w:r>
    </w:p>
    <w:p w:rsidR="00603F28" w:rsidRDefault="00041260">
      <w:pPr>
        <w:keepNext/>
      </w:pPr>
      <w:r>
        <w:rPr>
          <w:noProof/>
        </w:rPr>
        <w:drawing>
          <wp:inline distT="0" distB="0" distL="0" distR="0">
            <wp:extent cx="5133975" cy="2895600"/>
            <wp:effectExtent l="0" t="0" r="0" b="0"/>
            <wp:docPr id="90" name="图表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603F28" w:rsidRDefault="00041260">
      <w:pPr>
        <w:pStyle w:val="a3"/>
        <w:rPr>
          <w:rFonts w:ascii="宋体" w:hAnsi="宋体"/>
          <w:color w:val="000000" w:themeColor="text1"/>
        </w:rPr>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8</w:t>
      </w:r>
      <w:r>
        <w:fldChar w:fldCharType="end"/>
      </w:r>
      <w:r>
        <w:rPr>
          <w:rFonts w:hint="eastAsia"/>
        </w:rPr>
        <w:t>用人单位规模</w:t>
      </w:r>
    </w:p>
    <w:p w:rsidR="00603F28" w:rsidRDefault="00041260">
      <w:pPr>
        <w:pStyle w:val="4"/>
        <w:spacing w:before="120"/>
        <w:ind w:left="480"/>
        <w:rPr>
          <w:color w:val="000000" w:themeColor="text1"/>
        </w:rPr>
      </w:pPr>
      <w:r>
        <w:rPr>
          <w:color w:val="000000" w:themeColor="text1"/>
        </w:rPr>
        <w:t>2</w:t>
      </w:r>
      <w:r>
        <w:rPr>
          <w:rFonts w:hint="eastAsia"/>
          <w:color w:val="000000" w:themeColor="text1"/>
        </w:rPr>
        <w:t>.</w:t>
      </w:r>
      <w:r>
        <w:rPr>
          <w:rFonts w:hint="eastAsia"/>
          <w:color w:val="000000" w:themeColor="text1"/>
        </w:rPr>
        <w:t>单位性质</w:t>
      </w:r>
    </w:p>
    <w:p w:rsidR="00603F28" w:rsidRDefault="00041260">
      <w:pPr>
        <w:ind w:firstLineChars="200" w:firstLine="420"/>
      </w:pPr>
      <w:r>
        <w:rPr>
          <w:rFonts w:hint="eastAsia"/>
        </w:rPr>
        <w:t>用人单位的性质除“其他企业”外，在“国有企业”的用人单位居多，占比</w:t>
      </w:r>
      <w:r>
        <w:t>26.40</w:t>
      </w:r>
      <w:r>
        <w:rPr>
          <w:rFonts w:hint="eastAsia"/>
        </w:rPr>
        <w:t>%</w:t>
      </w:r>
      <w:r>
        <w:rPr>
          <w:rFonts w:hint="eastAsia"/>
        </w:rPr>
        <w:t>；其次是“三资企业”，占比</w:t>
      </w:r>
      <w:r>
        <w:t>8.71</w:t>
      </w:r>
      <w:r>
        <w:rPr>
          <w:rFonts w:hint="eastAsia"/>
        </w:rPr>
        <w:t>%</w:t>
      </w:r>
      <w:r>
        <w:rPr>
          <w:rFonts w:hint="eastAsia"/>
        </w:rPr>
        <w:t>。</w:t>
      </w:r>
    </w:p>
    <w:p w:rsidR="00603F28" w:rsidRDefault="00041260">
      <w:pPr>
        <w:keepNext/>
        <w:jc w:val="center"/>
      </w:pPr>
      <w:r>
        <w:rPr>
          <w:noProof/>
        </w:rPr>
        <w:drawing>
          <wp:inline distT="0" distB="0" distL="0" distR="0">
            <wp:extent cx="5153025" cy="2647950"/>
            <wp:effectExtent l="0" t="0" r="0" b="0"/>
            <wp:docPr id="96" name="图表 96"/>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9</w:t>
      </w:r>
      <w:r>
        <w:fldChar w:fldCharType="end"/>
      </w:r>
      <w:r>
        <w:rPr>
          <w:rFonts w:hint="eastAsia"/>
        </w:rPr>
        <w:t>用人单位性质</w:t>
      </w:r>
    </w:p>
    <w:p w:rsidR="00603F28" w:rsidRDefault="00041260">
      <w:pPr>
        <w:pStyle w:val="4"/>
        <w:spacing w:before="120"/>
        <w:ind w:left="480"/>
        <w:rPr>
          <w:color w:val="000000" w:themeColor="text1"/>
        </w:rPr>
      </w:pPr>
      <w:r>
        <w:rPr>
          <w:color w:val="000000" w:themeColor="text1"/>
        </w:rPr>
        <w:t>3</w:t>
      </w:r>
      <w:r>
        <w:rPr>
          <w:rFonts w:hint="eastAsia"/>
          <w:color w:val="000000" w:themeColor="text1"/>
        </w:rPr>
        <w:t>.</w:t>
      </w:r>
      <w:r>
        <w:rPr>
          <w:rFonts w:hint="eastAsia"/>
          <w:color w:val="000000" w:themeColor="text1"/>
        </w:rPr>
        <w:t>单位行业</w:t>
      </w:r>
    </w:p>
    <w:p w:rsidR="00603F28" w:rsidRDefault="00041260">
      <w:pPr>
        <w:ind w:firstLineChars="200" w:firstLine="420"/>
      </w:pPr>
      <w:r>
        <w:rPr>
          <w:rFonts w:hint="eastAsia"/>
        </w:rPr>
        <w:t>用人单位行业主要为金融业和制造业，分别占比</w:t>
      </w:r>
      <w:r>
        <w:rPr>
          <w:rFonts w:hint="eastAsia"/>
        </w:rPr>
        <w:t>18.73%</w:t>
      </w:r>
      <w:r>
        <w:rPr>
          <w:rFonts w:hint="eastAsia"/>
        </w:rPr>
        <w:t>和</w:t>
      </w:r>
      <w:r>
        <w:rPr>
          <w:rFonts w:hint="eastAsia"/>
        </w:rPr>
        <w:t>17.32%</w:t>
      </w:r>
      <w:r>
        <w:rPr>
          <w:rFonts w:hint="eastAsia"/>
        </w:rPr>
        <w:t>。</w:t>
      </w:r>
    </w:p>
    <w:p w:rsidR="00603F28" w:rsidRDefault="00041260">
      <w:pPr>
        <w:keepNext/>
      </w:pPr>
      <w:r>
        <w:rPr>
          <w:noProof/>
        </w:rPr>
        <w:drawing>
          <wp:inline distT="0" distB="0" distL="0" distR="0">
            <wp:extent cx="5274310" cy="3016250"/>
            <wp:effectExtent l="0" t="0" r="2540" b="0"/>
            <wp:docPr id="104" name="图表 104"/>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10</w:t>
      </w:r>
      <w:r>
        <w:fldChar w:fldCharType="end"/>
      </w:r>
      <w:r>
        <w:rPr>
          <w:rFonts w:hint="eastAsia"/>
        </w:rPr>
        <w:t>用人单位行业（前</w:t>
      </w:r>
      <w:r>
        <w:rPr>
          <w:rFonts w:hint="eastAsia"/>
        </w:rPr>
        <w:t>10</w:t>
      </w:r>
      <w:r>
        <w:rPr>
          <w:rFonts w:hint="eastAsia"/>
        </w:rPr>
        <w:t>）</w:t>
      </w:r>
    </w:p>
    <w:p w:rsidR="00603F28" w:rsidRDefault="00041260">
      <w:pPr>
        <w:pStyle w:val="4"/>
        <w:spacing w:before="120"/>
        <w:ind w:left="480"/>
        <w:rPr>
          <w:color w:val="000000" w:themeColor="text1"/>
        </w:rPr>
      </w:pPr>
      <w:r>
        <w:rPr>
          <w:color w:val="000000" w:themeColor="text1"/>
        </w:rPr>
        <w:t>4</w:t>
      </w:r>
      <w:r>
        <w:rPr>
          <w:rFonts w:hint="eastAsia"/>
          <w:color w:val="000000" w:themeColor="text1"/>
        </w:rPr>
        <w:t>.</w:t>
      </w:r>
      <w:r>
        <w:rPr>
          <w:rFonts w:hint="eastAsia"/>
          <w:color w:val="000000" w:themeColor="text1"/>
        </w:rPr>
        <w:t>单位地域</w:t>
      </w:r>
    </w:p>
    <w:p w:rsidR="00603F28" w:rsidRDefault="00041260">
      <w:pPr>
        <w:ind w:firstLineChars="200" w:firstLine="420"/>
      </w:pPr>
      <w:r>
        <w:rPr>
          <w:rFonts w:hint="eastAsia"/>
        </w:rPr>
        <w:t>用人单位地域主要集中在珠三角地区和江西省内，分别占比</w:t>
      </w:r>
      <w:r>
        <w:t>28.69</w:t>
      </w:r>
      <w:r>
        <w:rPr>
          <w:rFonts w:hint="eastAsia"/>
        </w:rPr>
        <w:t>%</w:t>
      </w:r>
      <w:r>
        <w:rPr>
          <w:rFonts w:hint="eastAsia"/>
        </w:rPr>
        <w:t>和</w:t>
      </w:r>
      <w:r>
        <w:rPr>
          <w:rFonts w:hint="eastAsia"/>
        </w:rPr>
        <w:t>28.55%</w:t>
      </w:r>
      <w:r>
        <w:rPr>
          <w:rFonts w:hint="eastAsia"/>
        </w:rPr>
        <w:t>；其次是长三角地区（</w:t>
      </w:r>
      <w:r>
        <w:rPr>
          <w:rFonts w:hint="eastAsia"/>
        </w:rPr>
        <w:t>20.82%</w:t>
      </w:r>
      <w:r>
        <w:rPr>
          <w:rFonts w:hint="eastAsia"/>
        </w:rPr>
        <w:t>）。</w:t>
      </w:r>
    </w:p>
    <w:p w:rsidR="00603F28" w:rsidRDefault="00041260">
      <w:pPr>
        <w:keepNext/>
        <w:jc w:val="center"/>
      </w:pPr>
      <w:r>
        <w:rPr>
          <w:noProof/>
        </w:rPr>
        <w:drawing>
          <wp:inline distT="0" distB="0" distL="0" distR="0">
            <wp:extent cx="5041265" cy="2794635"/>
            <wp:effectExtent l="0" t="0" r="6985" b="5715"/>
            <wp:docPr id="105" name="图表 105"/>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11</w:t>
      </w:r>
      <w:r>
        <w:fldChar w:fldCharType="end"/>
      </w:r>
      <w:r>
        <w:rPr>
          <w:rFonts w:hint="eastAsia"/>
        </w:rPr>
        <w:t>用人单位地域</w:t>
      </w:r>
    </w:p>
    <w:p w:rsidR="00603F28" w:rsidRDefault="00041260">
      <w:pPr>
        <w:ind w:firstLineChars="200" w:firstLine="420"/>
      </w:pPr>
      <w:r>
        <w:rPr>
          <w:rFonts w:hint="eastAsia"/>
        </w:rPr>
        <w:t>用人单位所在地类型主要是“省会城市</w:t>
      </w:r>
      <w:r>
        <w:rPr>
          <w:rFonts w:hint="eastAsia"/>
        </w:rPr>
        <w:t>/</w:t>
      </w:r>
      <w:r>
        <w:rPr>
          <w:rFonts w:hint="eastAsia"/>
        </w:rPr>
        <w:t>直辖市”（</w:t>
      </w:r>
      <w:r>
        <w:t>70</w:t>
      </w:r>
      <w:r>
        <w:rPr>
          <w:rFonts w:hint="eastAsia"/>
        </w:rPr>
        <w:t>.28%</w:t>
      </w:r>
      <w:r>
        <w:rPr>
          <w:rFonts w:hint="eastAsia"/>
        </w:rPr>
        <w:t>），其次是“地级城市”（</w:t>
      </w:r>
      <w:r>
        <w:t>25.07</w:t>
      </w:r>
      <w:r>
        <w:rPr>
          <w:rFonts w:hint="eastAsia"/>
        </w:rPr>
        <w:t>%</w:t>
      </w:r>
      <w:r>
        <w:rPr>
          <w:rFonts w:hint="eastAsia"/>
        </w:rPr>
        <w:t>）。</w:t>
      </w:r>
    </w:p>
    <w:p w:rsidR="00603F28" w:rsidRDefault="00041260">
      <w:pPr>
        <w:keepNext/>
        <w:jc w:val="center"/>
      </w:pPr>
      <w:r>
        <w:rPr>
          <w:noProof/>
        </w:rPr>
        <w:drawing>
          <wp:inline distT="0" distB="0" distL="0" distR="0">
            <wp:extent cx="4572000" cy="2743200"/>
            <wp:effectExtent l="0" t="0" r="0" b="0"/>
            <wp:docPr id="106" name="图表 106"/>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12</w:t>
      </w:r>
      <w:r>
        <w:fldChar w:fldCharType="end"/>
      </w:r>
      <w:r>
        <w:rPr>
          <w:rFonts w:hint="eastAsia"/>
        </w:rPr>
        <w:t>用人单位所在地类型</w:t>
      </w:r>
    </w:p>
    <w:p w:rsidR="00603F28" w:rsidRDefault="00041260">
      <w:pPr>
        <w:pStyle w:val="3"/>
        <w:rPr>
          <w:rFonts w:ascii="宋体" w:hAnsi="宋体"/>
          <w:color w:val="000000" w:themeColor="text1"/>
        </w:rPr>
      </w:pPr>
      <w:bookmarkStart w:id="122" w:name="_Toc27642662"/>
      <w:r>
        <w:rPr>
          <w:rFonts w:ascii="宋体" w:hAnsi="宋体" w:hint="eastAsia"/>
          <w:color w:val="000000" w:themeColor="text1"/>
        </w:rPr>
        <w:t>（二）用人单位招聘需求情况</w:t>
      </w:r>
      <w:bookmarkEnd w:id="122"/>
    </w:p>
    <w:p w:rsidR="00603F28" w:rsidRDefault="00041260">
      <w:pPr>
        <w:pStyle w:val="4"/>
        <w:spacing w:before="120"/>
        <w:ind w:left="480"/>
        <w:rPr>
          <w:color w:val="000000" w:themeColor="text1"/>
        </w:rPr>
      </w:pPr>
      <w:r>
        <w:rPr>
          <w:color w:val="000000" w:themeColor="text1"/>
        </w:rPr>
        <w:t>1</w:t>
      </w:r>
      <w:r>
        <w:rPr>
          <w:rFonts w:hint="eastAsia"/>
          <w:color w:val="000000" w:themeColor="text1"/>
        </w:rPr>
        <w:t>.</w:t>
      </w:r>
      <w:r>
        <w:rPr>
          <w:rFonts w:hint="eastAsia"/>
          <w:color w:val="000000" w:themeColor="text1"/>
        </w:rPr>
        <w:t>招聘途径</w:t>
      </w:r>
    </w:p>
    <w:p w:rsidR="00603F28" w:rsidRDefault="00041260">
      <w:pPr>
        <w:ind w:firstLineChars="200" w:firstLine="420"/>
      </w:pPr>
      <w:r>
        <w:rPr>
          <w:rFonts w:hint="eastAsia"/>
        </w:rPr>
        <w:t>用人单位招聘毕业生采用的主要途径是校园招聘类方式，含校园专场宣讲会（</w:t>
      </w:r>
      <w:r>
        <w:rPr>
          <w:rFonts w:hint="eastAsia"/>
        </w:rPr>
        <w:t>27.63%</w:t>
      </w:r>
      <w:r>
        <w:rPr>
          <w:rFonts w:hint="eastAsia"/>
        </w:rPr>
        <w:t>）、大型双选会（</w:t>
      </w:r>
      <w:r>
        <w:rPr>
          <w:rFonts w:hint="eastAsia"/>
        </w:rPr>
        <w:t>23.54%</w:t>
      </w:r>
      <w:r>
        <w:rPr>
          <w:rFonts w:hint="eastAsia"/>
        </w:rPr>
        <w:t>）和校园网络招聘（</w:t>
      </w:r>
      <w:r>
        <w:rPr>
          <w:rFonts w:hint="eastAsia"/>
        </w:rPr>
        <w:t>22.14%</w:t>
      </w:r>
      <w:r>
        <w:rPr>
          <w:rFonts w:hint="eastAsia"/>
        </w:rPr>
        <w:t>），累计占比</w:t>
      </w:r>
      <w:r>
        <w:rPr>
          <w:rFonts w:hint="eastAsia"/>
        </w:rPr>
        <w:t>73.31%</w:t>
      </w:r>
      <w:r>
        <w:rPr>
          <w:rFonts w:hint="eastAsia"/>
        </w:rPr>
        <w:t>。</w:t>
      </w:r>
    </w:p>
    <w:p w:rsidR="00603F28" w:rsidRDefault="00041260">
      <w:pPr>
        <w:keepNext/>
        <w:jc w:val="center"/>
      </w:pPr>
      <w:r>
        <w:rPr>
          <w:noProof/>
        </w:rPr>
        <w:drawing>
          <wp:inline distT="0" distB="0" distL="0" distR="0">
            <wp:extent cx="4541520" cy="2343150"/>
            <wp:effectExtent l="0" t="0" r="0" b="0"/>
            <wp:docPr id="108" name="图表 108"/>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13</w:t>
      </w:r>
      <w:r>
        <w:fldChar w:fldCharType="end"/>
      </w:r>
      <w:r>
        <w:rPr>
          <w:rFonts w:hint="eastAsia"/>
        </w:rPr>
        <w:t>用人单位主要招聘途径</w:t>
      </w:r>
    </w:p>
    <w:p w:rsidR="00603F28" w:rsidRDefault="00041260">
      <w:pPr>
        <w:ind w:firstLineChars="200" w:firstLine="420"/>
      </w:pPr>
      <w:r>
        <w:rPr>
          <w:rFonts w:hint="eastAsia"/>
        </w:rPr>
        <w:t>用人单位认为最佳的招聘方式中，校园专场宣讲会（</w:t>
      </w:r>
      <w:r>
        <w:rPr>
          <w:rFonts w:hint="eastAsia"/>
        </w:rPr>
        <w:t>32.33%</w:t>
      </w:r>
      <w:r>
        <w:rPr>
          <w:rFonts w:hint="eastAsia"/>
        </w:rPr>
        <w:t>）和大型双选会（</w:t>
      </w:r>
      <w:r>
        <w:rPr>
          <w:rFonts w:hint="eastAsia"/>
        </w:rPr>
        <w:t>25.39%</w:t>
      </w:r>
      <w:r>
        <w:rPr>
          <w:rFonts w:hint="eastAsia"/>
        </w:rPr>
        <w:t>）更佳。</w:t>
      </w:r>
    </w:p>
    <w:p w:rsidR="00603F28" w:rsidRDefault="00041260">
      <w:pPr>
        <w:keepNext/>
        <w:jc w:val="center"/>
      </w:pPr>
      <w:r>
        <w:rPr>
          <w:noProof/>
        </w:rPr>
        <w:drawing>
          <wp:inline distT="0" distB="0" distL="0" distR="0">
            <wp:extent cx="4392930" cy="2423795"/>
            <wp:effectExtent l="0" t="0" r="7620" b="0"/>
            <wp:docPr id="109" name="图表 109"/>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14</w:t>
      </w:r>
      <w:r>
        <w:fldChar w:fldCharType="end"/>
      </w:r>
      <w:r>
        <w:rPr>
          <w:rFonts w:hint="eastAsia"/>
        </w:rPr>
        <w:t>用人单位认为最佳招聘途径</w:t>
      </w:r>
    </w:p>
    <w:p w:rsidR="00603F28" w:rsidRDefault="00041260">
      <w:pPr>
        <w:pStyle w:val="4"/>
        <w:spacing w:before="120"/>
        <w:ind w:left="480"/>
        <w:rPr>
          <w:color w:val="000000" w:themeColor="text1"/>
        </w:rPr>
      </w:pPr>
      <w:r>
        <w:rPr>
          <w:color w:val="000000" w:themeColor="text1"/>
        </w:rPr>
        <w:t>2</w:t>
      </w:r>
      <w:r>
        <w:rPr>
          <w:rFonts w:hint="eastAsia"/>
          <w:color w:val="000000" w:themeColor="text1"/>
        </w:rPr>
        <w:t>.</w:t>
      </w:r>
      <w:r>
        <w:rPr>
          <w:rFonts w:hint="eastAsia"/>
          <w:color w:val="000000" w:themeColor="text1"/>
        </w:rPr>
        <w:t>用人单位聘用毕业生最看重因素</w:t>
      </w:r>
    </w:p>
    <w:p w:rsidR="00603F28" w:rsidRDefault="00041260">
      <w:pPr>
        <w:ind w:firstLineChars="200" w:firstLine="420"/>
      </w:pPr>
      <w:r>
        <w:rPr>
          <w:rFonts w:hint="eastAsia"/>
        </w:rPr>
        <w:t>用人单位在聘用本校毕业生时，最看重的因素主要是毕业生综合素质（</w:t>
      </w:r>
      <w:r>
        <w:t>27.20</w:t>
      </w:r>
      <w:r>
        <w:rPr>
          <w:rFonts w:hint="eastAsia"/>
        </w:rPr>
        <w:t>%</w:t>
      </w:r>
      <w:r>
        <w:rPr>
          <w:rFonts w:hint="eastAsia"/>
        </w:rPr>
        <w:t>）和专业对口（</w:t>
      </w:r>
      <w:r>
        <w:t>23.64</w:t>
      </w:r>
      <w:r>
        <w:rPr>
          <w:rFonts w:hint="eastAsia"/>
        </w:rPr>
        <w:t>%</w:t>
      </w:r>
      <w:r>
        <w:rPr>
          <w:rFonts w:hint="eastAsia"/>
        </w:rPr>
        <w:t>），说明用人单位对毕业生的综合能力和匹配专业比较重视。</w:t>
      </w:r>
    </w:p>
    <w:p w:rsidR="00603F28" w:rsidRDefault="00041260">
      <w:pPr>
        <w:keepNext/>
      </w:pPr>
      <w:r>
        <w:rPr>
          <w:noProof/>
        </w:rPr>
        <w:drawing>
          <wp:inline distT="0" distB="0" distL="0" distR="0">
            <wp:extent cx="5274310" cy="2717800"/>
            <wp:effectExtent l="0" t="0" r="2540" b="6350"/>
            <wp:docPr id="113" name="图表 1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15</w:t>
      </w:r>
      <w:r>
        <w:fldChar w:fldCharType="end"/>
      </w:r>
      <w:r>
        <w:rPr>
          <w:rFonts w:hint="eastAsia"/>
        </w:rPr>
        <w:t>用人单位聘用毕业生最看</w:t>
      </w:r>
      <w:r>
        <w:rPr>
          <w:rFonts w:hint="eastAsia"/>
        </w:rPr>
        <w:t>重因素</w:t>
      </w:r>
    </w:p>
    <w:p w:rsidR="00603F28" w:rsidRDefault="00041260">
      <w:pPr>
        <w:pStyle w:val="4"/>
        <w:ind w:firstLineChars="200" w:firstLine="422"/>
      </w:pPr>
      <w:r>
        <w:rPr>
          <w:color w:val="000000" w:themeColor="text1"/>
        </w:rPr>
        <w:t>3</w:t>
      </w:r>
      <w:r>
        <w:rPr>
          <w:rFonts w:hint="eastAsia"/>
          <w:color w:val="000000" w:themeColor="text1"/>
        </w:rPr>
        <w:t>.</w:t>
      </w:r>
      <w:r>
        <w:rPr>
          <w:rFonts w:hint="eastAsia"/>
        </w:rPr>
        <w:t>用人单位聘用毕业生的薪资范围</w:t>
      </w:r>
    </w:p>
    <w:p w:rsidR="00603F28" w:rsidRDefault="00041260">
      <w:pPr>
        <w:ind w:firstLineChars="200" w:firstLine="420"/>
      </w:pPr>
      <w:r>
        <w:rPr>
          <w:rFonts w:hint="eastAsia"/>
        </w:rPr>
        <w:t>用人单位在聘用本校毕业生时提供的薪资范围主要集中在</w:t>
      </w:r>
      <w:r>
        <w:t>5</w:t>
      </w:r>
      <w:r>
        <w:rPr>
          <w:rFonts w:hint="eastAsia"/>
        </w:rPr>
        <w:t>001-</w:t>
      </w:r>
      <w:r>
        <w:t>6000</w:t>
      </w:r>
      <w:r>
        <w:rPr>
          <w:rFonts w:hint="eastAsia"/>
        </w:rPr>
        <w:t>元，占比</w:t>
      </w:r>
      <w:r>
        <w:t>26.29</w:t>
      </w:r>
      <w:r>
        <w:rPr>
          <w:rFonts w:hint="eastAsia"/>
        </w:rPr>
        <w:t>%</w:t>
      </w:r>
      <w:r>
        <w:rPr>
          <w:rFonts w:hint="eastAsia"/>
        </w:rPr>
        <w:t>。</w:t>
      </w:r>
      <w:r>
        <w:rPr>
          <w:rFonts w:hint="eastAsia"/>
        </w:rPr>
        <w:t>5</w:t>
      </w:r>
      <w:r>
        <w:t>000</w:t>
      </w:r>
      <w:r>
        <w:rPr>
          <w:rFonts w:hint="eastAsia"/>
        </w:rPr>
        <w:t>元以下的比例仅占</w:t>
      </w:r>
      <w:r>
        <w:rPr>
          <w:rFonts w:hint="eastAsia"/>
        </w:rPr>
        <w:t>24.1</w:t>
      </w:r>
      <w:r>
        <w:t>9</w:t>
      </w:r>
      <w:r>
        <w:rPr>
          <w:rFonts w:hint="eastAsia"/>
        </w:rPr>
        <w:t>%</w:t>
      </w:r>
      <w:r>
        <w:rPr>
          <w:rFonts w:hint="eastAsia"/>
        </w:rPr>
        <w:t>，用人单位给我校毕业生的薪资待遇普遍较高。</w:t>
      </w:r>
    </w:p>
    <w:p w:rsidR="00603F28" w:rsidRDefault="00041260">
      <w:pPr>
        <w:keepNext/>
      </w:pPr>
      <w:r>
        <w:rPr>
          <w:noProof/>
        </w:rPr>
        <w:drawing>
          <wp:inline distT="0" distB="0" distL="0" distR="0">
            <wp:extent cx="5274310" cy="2717800"/>
            <wp:effectExtent l="0" t="0" r="2540" b="6350"/>
            <wp:docPr id="114" name="图表 114"/>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16</w:t>
      </w:r>
      <w:r>
        <w:fldChar w:fldCharType="end"/>
      </w:r>
      <w:r>
        <w:rPr>
          <w:rFonts w:hint="eastAsia"/>
        </w:rPr>
        <w:t>用人单位聘用毕业生的薪资范围</w:t>
      </w:r>
    </w:p>
    <w:p w:rsidR="00603F28" w:rsidRDefault="00041260">
      <w:pPr>
        <w:pStyle w:val="4"/>
        <w:ind w:firstLineChars="300" w:firstLine="632"/>
      </w:pPr>
      <w:r>
        <w:rPr>
          <w:color w:val="000000" w:themeColor="text1"/>
        </w:rPr>
        <w:t>4</w:t>
      </w:r>
      <w:r>
        <w:rPr>
          <w:rFonts w:hint="eastAsia"/>
          <w:color w:val="000000" w:themeColor="text1"/>
        </w:rPr>
        <w:t>.</w:t>
      </w:r>
      <w:r>
        <w:rPr>
          <w:rFonts w:hint="eastAsia"/>
        </w:rPr>
        <w:t>用人单位招聘人数需求</w:t>
      </w:r>
    </w:p>
    <w:p w:rsidR="00603F28" w:rsidRDefault="00041260">
      <w:pPr>
        <w:ind w:firstLineChars="200" w:firstLine="420"/>
      </w:pPr>
      <w:r>
        <w:rPr>
          <w:rFonts w:hint="eastAsia"/>
        </w:rPr>
        <w:t>77.</w:t>
      </w:r>
      <w:r>
        <w:t>0</w:t>
      </w:r>
      <w:r>
        <w:rPr>
          <w:rFonts w:hint="eastAsia"/>
        </w:rPr>
        <w:t>3%</w:t>
      </w:r>
      <w:r>
        <w:rPr>
          <w:rFonts w:hint="eastAsia"/>
        </w:rPr>
        <w:t>的用人单位招聘人数区间主要为</w:t>
      </w:r>
      <w:r>
        <w:rPr>
          <w:rFonts w:hint="eastAsia"/>
        </w:rPr>
        <w:t>10</w:t>
      </w:r>
      <w:r>
        <w:rPr>
          <w:rFonts w:hint="eastAsia"/>
        </w:rPr>
        <w:t>人以上，其中“</w:t>
      </w:r>
      <w:r>
        <w:rPr>
          <w:rFonts w:hint="eastAsia"/>
        </w:rPr>
        <w:t>11-</w:t>
      </w:r>
      <w:r>
        <w:t>20</w:t>
      </w:r>
      <w:r>
        <w:rPr>
          <w:rFonts w:hint="eastAsia"/>
        </w:rPr>
        <w:t>人”（</w:t>
      </w:r>
      <w:r>
        <w:rPr>
          <w:rFonts w:hint="eastAsia"/>
        </w:rPr>
        <w:t>3</w:t>
      </w:r>
      <w:r>
        <w:t>4.73</w:t>
      </w:r>
      <w:r>
        <w:rPr>
          <w:rFonts w:hint="eastAsia"/>
        </w:rPr>
        <w:t>%</w:t>
      </w:r>
      <w:r>
        <w:rPr>
          <w:rFonts w:hint="eastAsia"/>
        </w:rPr>
        <w:t>）比例相对更多。</w:t>
      </w:r>
    </w:p>
    <w:p w:rsidR="00603F28" w:rsidRDefault="00041260">
      <w:pPr>
        <w:keepNext/>
      </w:pPr>
      <w:r>
        <w:rPr>
          <w:noProof/>
        </w:rPr>
        <w:drawing>
          <wp:inline distT="0" distB="0" distL="0" distR="0">
            <wp:extent cx="5133975" cy="2895600"/>
            <wp:effectExtent l="0" t="0" r="8255" b="0"/>
            <wp:docPr id="115" name="图表 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17</w:t>
      </w:r>
      <w:r>
        <w:fldChar w:fldCharType="end"/>
      </w:r>
      <w:r>
        <w:rPr>
          <w:rFonts w:hint="eastAsia"/>
        </w:rPr>
        <w:t>用人单位招聘人数需求</w:t>
      </w:r>
    </w:p>
    <w:p w:rsidR="00603F28" w:rsidRDefault="00041260">
      <w:pPr>
        <w:pStyle w:val="4"/>
        <w:ind w:firstLineChars="300" w:firstLine="632"/>
      </w:pPr>
      <w:r>
        <w:rPr>
          <w:color w:val="000000" w:themeColor="text1"/>
        </w:rPr>
        <w:t>5</w:t>
      </w:r>
      <w:r>
        <w:rPr>
          <w:rFonts w:hint="eastAsia"/>
          <w:color w:val="000000" w:themeColor="text1"/>
        </w:rPr>
        <w:t>.</w:t>
      </w:r>
      <w:r>
        <w:rPr>
          <w:rFonts w:hint="eastAsia"/>
        </w:rPr>
        <w:t>用人单位专业需求及专业对口关注度</w:t>
      </w:r>
    </w:p>
    <w:p w:rsidR="00603F28" w:rsidRDefault="00041260">
      <w:pPr>
        <w:ind w:firstLineChars="200" w:firstLine="420"/>
      </w:pPr>
      <w:r>
        <w:rPr>
          <w:rFonts w:hint="eastAsia"/>
        </w:rPr>
        <w:t>用人单位在招聘本校毕业生时需求量最大的专业主要是会计学（</w:t>
      </w:r>
      <w:r>
        <w:t>10.02</w:t>
      </w:r>
      <w:r>
        <w:rPr>
          <w:rFonts w:hint="eastAsia"/>
        </w:rPr>
        <w:t>%</w:t>
      </w:r>
      <w:r>
        <w:rPr>
          <w:rFonts w:hint="eastAsia"/>
        </w:rPr>
        <w:t>）、财务管理（</w:t>
      </w:r>
      <w:r>
        <w:t>9.26</w:t>
      </w:r>
      <w:r>
        <w:rPr>
          <w:rFonts w:hint="eastAsia"/>
        </w:rPr>
        <w:t>%</w:t>
      </w:r>
      <w:r>
        <w:rPr>
          <w:rFonts w:hint="eastAsia"/>
        </w:rPr>
        <w:t>）和金融学（</w:t>
      </w:r>
      <w:r>
        <w:t>6.93</w:t>
      </w:r>
      <w:r>
        <w:rPr>
          <w:rFonts w:hint="eastAsia"/>
        </w:rPr>
        <w:t>%</w:t>
      </w:r>
      <w:r>
        <w:rPr>
          <w:rFonts w:hint="eastAsia"/>
        </w:rPr>
        <w:t>）。</w:t>
      </w:r>
    </w:p>
    <w:p w:rsidR="00603F28" w:rsidRDefault="00041260">
      <w:pPr>
        <w:keepNext/>
      </w:pPr>
      <w:r>
        <w:rPr>
          <w:noProof/>
        </w:rPr>
        <w:drawing>
          <wp:inline distT="0" distB="0" distL="0" distR="0">
            <wp:extent cx="5274310" cy="2717800"/>
            <wp:effectExtent l="0" t="0" r="0" b="0"/>
            <wp:docPr id="117" name="图表 117"/>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18</w:t>
      </w:r>
      <w:r>
        <w:fldChar w:fldCharType="end"/>
      </w:r>
      <w:r>
        <w:rPr>
          <w:rFonts w:hint="eastAsia"/>
        </w:rPr>
        <w:t>用人单位专业需求（前</w:t>
      </w:r>
      <w:r>
        <w:rPr>
          <w:rFonts w:hint="eastAsia"/>
        </w:rPr>
        <w:t>10</w:t>
      </w:r>
      <w:r>
        <w:rPr>
          <w:rFonts w:hint="eastAsia"/>
        </w:rPr>
        <w:t>）</w:t>
      </w:r>
    </w:p>
    <w:p w:rsidR="00603F28" w:rsidRDefault="00041260">
      <w:pPr>
        <w:ind w:firstLineChars="200" w:firstLine="420"/>
      </w:pPr>
      <w:r>
        <w:rPr>
          <w:rFonts w:hint="eastAsia"/>
        </w:rPr>
        <w:t>用人单位中，</w:t>
      </w:r>
      <w:r>
        <w:t>85.48</w:t>
      </w:r>
      <w:r>
        <w:rPr>
          <w:rFonts w:hint="eastAsia"/>
        </w:rPr>
        <w:t>%</w:t>
      </w:r>
      <w:r>
        <w:rPr>
          <w:rFonts w:hint="eastAsia"/>
        </w:rPr>
        <w:t>的用人单位在聘用本校毕业生时对专业对口度有一定要求，其中“非常关注”的占比</w:t>
      </w:r>
      <w:r>
        <w:rPr>
          <w:rFonts w:hint="eastAsia"/>
        </w:rPr>
        <w:t>2</w:t>
      </w:r>
      <w:r>
        <w:t>1</w:t>
      </w:r>
      <w:r>
        <w:rPr>
          <w:rFonts w:hint="eastAsia"/>
        </w:rPr>
        <w:t>.</w:t>
      </w:r>
      <w:r>
        <w:t>09</w:t>
      </w:r>
      <w:r>
        <w:rPr>
          <w:rFonts w:hint="eastAsia"/>
        </w:rPr>
        <w:t>%</w:t>
      </w:r>
      <w:r>
        <w:rPr>
          <w:rFonts w:hint="eastAsia"/>
        </w:rPr>
        <w:t>。</w:t>
      </w:r>
    </w:p>
    <w:p w:rsidR="00603F28" w:rsidRDefault="00041260">
      <w:pPr>
        <w:keepNext/>
        <w:ind w:firstLineChars="200" w:firstLine="420"/>
      </w:pPr>
      <w:r>
        <w:rPr>
          <w:noProof/>
        </w:rPr>
        <w:drawing>
          <wp:inline distT="0" distB="0" distL="0" distR="0">
            <wp:extent cx="4572000" cy="2743200"/>
            <wp:effectExtent l="0" t="0" r="0" b="0"/>
            <wp:docPr id="118" name="图表 118"/>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19</w:t>
      </w:r>
      <w:r>
        <w:fldChar w:fldCharType="end"/>
      </w:r>
      <w:r>
        <w:rPr>
          <w:rFonts w:hint="eastAsia"/>
        </w:rPr>
        <w:t>用人单位专业对口关注度</w:t>
      </w:r>
    </w:p>
    <w:p w:rsidR="00603F28" w:rsidRDefault="00041260">
      <w:pPr>
        <w:pStyle w:val="3"/>
        <w:rPr>
          <w:color w:val="000000" w:themeColor="text1"/>
        </w:rPr>
      </w:pPr>
      <w:bookmarkStart w:id="123" w:name="_Toc27642663"/>
      <w:r>
        <w:rPr>
          <w:rFonts w:ascii="宋体" w:hAnsi="宋体" w:hint="eastAsia"/>
          <w:color w:val="000000" w:themeColor="text1"/>
        </w:rPr>
        <w:t>（三）用人单位对毕业生评价</w:t>
      </w:r>
      <w:bookmarkEnd w:id="123"/>
    </w:p>
    <w:p w:rsidR="00603F28" w:rsidRDefault="00041260">
      <w:pPr>
        <w:pStyle w:val="4"/>
        <w:spacing w:before="120"/>
        <w:ind w:left="480"/>
        <w:rPr>
          <w:color w:val="000000" w:themeColor="text1"/>
        </w:rPr>
      </w:pPr>
      <w:r>
        <w:rPr>
          <w:color w:val="000000" w:themeColor="text1"/>
        </w:rPr>
        <w:t>1</w:t>
      </w:r>
      <w:r>
        <w:rPr>
          <w:rFonts w:hint="eastAsia"/>
          <w:color w:val="000000" w:themeColor="text1"/>
        </w:rPr>
        <w:t>.</w:t>
      </w:r>
      <w:r>
        <w:rPr>
          <w:rFonts w:hint="eastAsia"/>
          <w:color w:val="000000" w:themeColor="text1"/>
        </w:rPr>
        <w:t>用人单位对毕业生的总体满意度</w:t>
      </w:r>
    </w:p>
    <w:p w:rsidR="00603F28" w:rsidRDefault="00041260">
      <w:pPr>
        <w:ind w:firstLineChars="200" w:firstLine="420"/>
      </w:pPr>
      <w:r>
        <w:rPr>
          <w:rFonts w:hint="eastAsia"/>
        </w:rPr>
        <w:t>用人单位对毕业生的满意度为</w:t>
      </w:r>
      <w:r>
        <w:rPr>
          <w:rFonts w:hint="eastAsia"/>
        </w:rPr>
        <w:t>100%</w:t>
      </w:r>
      <w:r>
        <w:rPr>
          <w:rFonts w:hint="eastAsia"/>
        </w:rPr>
        <w:t>；其中“非常满意”比例为</w:t>
      </w:r>
      <w:r>
        <w:rPr>
          <w:rFonts w:hint="eastAsia"/>
        </w:rPr>
        <w:t>46.29%</w:t>
      </w:r>
      <w:r>
        <w:rPr>
          <w:rFonts w:hint="eastAsia"/>
        </w:rPr>
        <w:t>。</w:t>
      </w:r>
    </w:p>
    <w:p w:rsidR="00603F28" w:rsidRDefault="00041260">
      <w:pPr>
        <w:keepNext/>
        <w:ind w:firstLineChars="200" w:firstLine="420"/>
      </w:pPr>
      <w:r>
        <w:rPr>
          <w:noProof/>
        </w:rPr>
        <w:drawing>
          <wp:inline distT="0" distB="0" distL="0" distR="0">
            <wp:extent cx="4572000" cy="2743200"/>
            <wp:effectExtent l="0" t="0" r="0" b="0"/>
            <wp:docPr id="119" name="图表 119"/>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20</w:t>
      </w:r>
      <w:r>
        <w:fldChar w:fldCharType="end"/>
      </w:r>
      <w:r>
        <w:rPr>
          <w:rFonts w:hint="eastAsia"/>
        </w:rPr>
        <w:t>用人单位对毕业生总体满意度</w:t>
      </w:r>
    </w:p>
    <w:p w:rsidR="00603F28" w:rsidRDefault="00041260">
      <w:pPr>
        <w:pStyle w:val="4"/>
        <w:spacing w:before="120"/>
        <w:ind w:left="480"/>
        <w:rPr>
          <w:color w:val="000000" w:themeColor="text1"/>
        </w:rPr>
      </w:pPr>
      <w:r>
        <w:rPr>
          <w:color w:val="000000" w:themeColor="text1"/>
        </w:rPr>
        <w:t>2</w:t>
      </w:r>
      <w:r>
        <w:rPr>
          <w:rFonts w:hint="eastAsia"/>
          <w:color w:val="000000" w:themeColor="text1"/>
        </w:rPr>
        <w:t>.</w:t>
      </w:r>
      <w:r>
        <w:rPr>
          <w:rFonts w:hint="eastAsia"/>
          <w:color w:val="000000" w:themeColor="text1"/>
        </w:rPr>
        <w:t>用人单位对毕业生工作能力的评价</w:t>
      </w:r>
    </w:p>
    <w:p w:rsidR="00603F28" w:rsidRDefault="00041260">
      <w:pPr>
        <w:ind w:firstLineChars="200" w:firstLine="420"/>
      </w:pPr>
      <w:r>
        <w:rPr>
          <w:rFonts w:hint="eastAsia"/>
        </w:rPr>
        <w:t>用人单位对毕业生的评价分为五个维度并将其等级量化：“非常满意</w:t>
      </w:r>
      <w:r>
        <w:t>”=5</w:t>
      </w:r>
      <w:r>
        <w:rPr>
          <w:rFonts w:hint="eastAsia"/>
        </w:rPr>
        <w:t>分，</w:t>
      </w:r>
      <w:r>
        <w:t>“</w:t>
      </w:r>
      <w:r>
        <w:rPr>
          <w:rFonts w:hint="eastAsia"/>
        </w:rPr>
        <w:t>满意</w:t>
      </w:r>
      <w:r>
        <w:t>”=4</w:t>
      </w:r>
      <w:r>
        <w:rPr>
          <w:rFonts w:hint="eastAsia"/>
        </w:rPr>
        <w:t>分，</w:t>
      </w:r>
      <w:r>
        <w:t>“</w:t>
      </w:r>
      <w:r>
        <w:rPr>
          <w:rFonts w:hint="eastAsia"/>
        </w:rPr>
        <w:t>比较满意</w:t>
      </w:r>
      <w:r>
        <w:t>”=3</w:t>
      </w:r>
      <w:r>
        <w:rPr>
          <w:rFonts w:hint="eastAsia"/>
        </w:rPr>
        <w:t>分，</w:t>
      </w:r>
      <w:r>
        <w:t>“</w:t>
      </w:r>
      <w:r>
        <w:rPr>
          <w:rFonts w:hint="eastAsia"/>
        </w:rPr>
        <w:t>不太满意</w:t>
      </w:r>
      <w:r>
        <w:t>”=2</w:t>
      </w:r>
      <w:r>
        <w:rPr>
          <w:rFonts w:hint="eastAsia"/>
        </w:rPr>
        <w:t>分，</w:t>
      </w:r>
      <w:r>
        <w:t>“</w:t>
      </w:r>
      <w:r>
        <w:rPr>
          <w:rFonts w:hint="eastAsia"/>
        </w:rPr>
        <w:t>很不满意</w:t>
      </w:r>
      <w:r>
        <w:t>”=1</w:t>
      </w:r>
      <w:r>
        <w:rPr>
          <w:rFonts w:hint="eastAsia"/>
        </w:rPr>
        <w:t>分。</w:t>
      </w:r>
    </w:p>
    <w:p w:rsidR="00603F28" w:rsidRDefault="00041260">
      <w:pPr>
        <w:ind w:firstLineChars="200" w:firstLine="420"/>
      </w:pPr>
      <w:r>
        <w:rPr>
          <w:rFonts w:hint="eastAsia"/>
        </w:rPr>
        <w:t>毕业生用人单位对毕业生工作能力的评价数据显示，用人单位对毕业生工作能力认同度最高的是“专业技术能力”（</w:t>
      </w:r>
      <w:r>
        <w:rPr>
          <w:rFonts w:hint="eastAsia"/>
        </w:rPr>
        <w:t>4.54</w:t>
      </w:r>
      <w:r>
        <w:rPr>
          <w:rFonts w:hint="eastAsia"/>
        </w:rPr>
        <w:t>分），其次是“职业素养”（</w:t>
      </w:r>
      <w:r>
        <w:rPr>
          <w:rFonts w:hint="eastAsia"/>
        </w:rPr>
        <w:t>4.</w:t>
      </w:r>
      <w:r>
        <w:t>53</w:t>
      </w:r>
      <w:r>
        <w:rPr>
          <w:rFonts w:hint="eastAsia"/>
        </w:rPr>
        <w:t>分）、“沟通表达能力”（</w:t>
      </w:r>
      <w:r>
        <w:rPr>
          <w:rFonts w:hint="eastAsia"/>
        </w:rPr>
        <w:t>4.</w:t>
      </w:r>
      <w:r>
        <w:t>50</w:t>
      </w:r>
      <w:r>
        <w:rPr>
          <w:rFonts w:hint="eastAsia"/>
        </w:rPr>
        <w:t>分）和“执行力”（</w:t>
      </w:r>
      <w:r>
        <w:rPr>
          <w:rFonts w:hint="eastAsia"/>
        </w:rPr>
        <w:t>4.5</w:t>
      </w:r>
      <w:r>
        <w:t>0</w:t>
      </w:r>
      <w:r>
        <w:rPr>
          <w:rFonts w:hint="eastAsia"/>
        </w:rPr>
        <w:t>分）。</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12</w:t>
      </w:r>
      <w:r>
        <w:fldChar w:fldCharType="end"/>
      </w:r>
      <w:r>
        <w:t>用人单位对毕业生工作能力评价</w:t>
      </w:r>
    </w:p>
    <w:tbl>
      <w:tblPr>
        <w:tblW w:w="5000" w:type="pct"/>
        <w:tblLook w:val="04A0" w:firstRow="1" w:lastRow="0" w:firstColumn="1" w:lastColumn="0" w:noHBand="0" w:noVBand="1"/>
      </w:tblPr>
      <w:tblGrid>
        <w:gridCol w:w="5185"/>
        <w:gridCol w:w="3111"/>
      </w:tblGrid>
      <w:tr w:rsidR="00603F28">
        <w:trPr>
          <w:trHeight w:val="300"/>
        </w:trPr>
        <w:tc>
          <w:tcPr>
            <w:tcW w:w="3125"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工作能力</w:t>
            </w:r>
          </w:p>
        </w:tc>
        <w:tc>
          <w:tcPr>
            <w:tcW w:w="187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平均分</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专业技术能力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4.54</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职业素养</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4.53</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沟通表达能力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w:t>
            </w:r>
            <w:r>
              <w:rPr>
                <w:rFonts w:ascii="黑体" w:eastAsia="黑体" w:hAnsi="黑体" w:cs="Calibri"/>
                <w:kern w:val="0"/>
                <w:sz w:val="18"/>
                <w:szCs w:val="18"/>
              </w:rPr>
              <w:t>0</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执行力</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w:t>
            </w:r>
            <w:r>
              <w:rPr>
                <w:rFonts w:ascii="黑体" w:eastAsia="黑体" w:hAnsi="黑体" w:cs="Calibri"/>
                <w:kern w:val="0"/>
                <w:sz w:val="18"/>
                <w:szCs w:val="18"/>
              </w:rPr>
              <w:t>0</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逻辑分析能力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4.49</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团队合作能力</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4.48</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实践操作能力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4.45</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人际交往能力</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4.44</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环境适应能力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4.44</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组织管理能力</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4.43</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抗压能力</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4.41</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领导力</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4.3</w:t>
            </w:r>
            <w:r>
              <w:rPr>
                <w:rFonts w:ascii="黑体" w:eastAsia="黑体" w:hAnsi="黑体" w:cs="Calibri"/>
                <w:kern w:val="0"/>
                <w:sz w:val="18"/>
                <w:szCs w:val="18"/>
              </w:rPr>
              <w:t>0</w:t>
            </w:r>
          </w:p>
        </w:tc>
      </w:tr>
    </w:tbl>
    <w:p w:rsidR="00603F28" w:rsidRDefault="00041260">
      <w:pPr>
        <w:pStyle w:val="4"/>
        <w:spacing w:before="120"/>
        <w:ind w:left="480"/>
        <w:rPr>
          <w:color w:val="000000" w:themeColor="text1"/>
        </w:rPr>
      </w:pPr>
      <w:r>
        <w:rPr>
          <w:color w:val="000000" w:themeColor="text1"/>
        </w:rPr>
        <w:t>3</w:t>
      </w:r>
      <w:r>
        <w:rPr>
          <w:rFonts w:hint="eastAsia"/>
          <w:color w:val="000000" w:themeColor="text1"/>
        </w:rPr>
        <w:t>.</w:t>
      </w:r>
      <w:r>
        <w:rPr>
          <w:rFonts w:hint="eastAsia"/>
          <w:color w:val="000000" w:themeColor="text1"/>
        </w:rPr>
        <w:t>用人单位对毕业生个人素质的评价</w:t>
      </w:r>
    </w:p>
    <w:p w:rsidR="00603F28" w:rsidRDefault="00041260">
      <w:pPr>
        <w:ind w:firstLineChars="200" w:firstLine="420"/>
      </w:pPr>
      <w:r>
        <w:rPr>
          <w:rFonts w:hint="eastAsia"/>
        </w:rPr>
        <w:t>用人单位对毕业生的评价分为五个维度并将其等级量化：“非常满意</w:t>
      </w:r>
      <w:r>
        <w:t>”=5</w:t>
      </w:r>
      <w:r>
        <w:rPr>
          <w:rFonts w:hint="eastAsia"/>
        </w:rPr>
        <w:t>分，</w:t>
      </w:r>
      <w:r>
        <w:t>“</w:t>
      </w:r>
      <w:r>
        <w:rPr>
          <w:rFonts w:hint="eastAsia"/>
        </w:rPr>
        <w:t>满意</w:t>
      </w:r>
      <w:r>
        <w:t>”=4</w:t>
      </w:r>
      <w:r>
        <w:rPr>
          <w:rFonts w:hint="eastAsia"/>
        </w:rPr>
        <w:t>分，</w:t>
      </w:r>
      <w:r>
        <w:t>“</w:t>
      </w:r>
      <w:r>
        <w:rPr>
          <w:rFonts w:hint="eastAsia"/>
        </w:rPr>
        <w:t>比较满意</w:t>
      </w:r>
      <w:r>
        <w:t>”=3</w:t>
      </w:r>
      <w:r>
        <w:rPr>
          <w:rFonts w:hint="eastAsia"/>
        </w:rPr>
        <w:t>分，</w:t>
      </w:r>
      <w:r>
        <w:t>“</w:t>
      </w:r>
      <w:r>
        <w:rPr>
          <w:rFonts w:hint="eastAsia"/>
        </w:rPr>
        <w:t>不太满意</w:t>
      </w:r>
      <w:r>
        <w:t>”=2</w:t>
      </w:r>
      <w:r>
        <w:rPr>
          <w:rFonts w:hint="eastAsia"/>
        </w:rPr>
        <w:t>分，</w:t>
      </w:r>
      <w:r>
        <w:t>“</w:t>
      </w:r>
      <w:r>
        <w:rPr>
          <w:rFonts w:hint="eastAsia"/>
        </w:rPr>
        <w:t>很不满意</w:t>
      </w:r>
      <w:r>
        <w:t>”=1</w:t>
      </w:r>
      <w:r>
        <w:rPr>
          <w:rFonts w:hint="eastAsia"/>
        </w:rPr>
        <w:t>分。</w:t>
      </w:r>
    </w:p>
    <w:p w:rsidR="00603F28" w:rsidRDefault="00041260">
      <w:pPr>
        <w:ind w:firstLineChars="200" w:firstLine="420"/>
      </w:pPr>
      <w:r>
        <w:rPr>
          <w:rFonts w:hint="eastAsia"/>
        </w:rPr>
        <w:t>毕业生用人单位对毕业生个人素质的评价数据显示，用人单位对毕业生个人素质认同度最高的是“待人真诚”（</w:t>
      </w:r>
      <w:r>
        <w:rPr>
          <w:rFonts w:hint="eastAsia"/>
        </w:rPr>
        <w:t>4.</w:t>
      </w:r>
      <w:r>
        <w:t>59</w:t>
      </w:r>
      <w:r>
        <w:rPr>
          <w:rFonts w:hint="eastAsia"/>
        </w:rPr>
        <w:t>分），其次是“诚实守信”（</w:t>
      </w:r>
      <w:r>
        <w:rPr>
          <w:rFonts w:hint="eastAsia"/>
        </w:rPr>
        <w:t>4.</w:t>
      </w:r>
      <w:r>
        <w:t>58</w:t>
      </w:r>
      <w:r>
        <w:rPr>
          <w:rFonts w:hint="eastAsia"/>
        </w:rPr>
        <w:t>分）和“责任感”（</w:t>
      </w:r>
      <w:r>
        <w:rPr>
          <w:rFonts w:hint="eastAsia"/>
        </w:rPr>
        <w:t>4.</w:t>
      </w:r>
      <w:r>
        <w:t>57</w:t>
      </w:r>
      <w:r>
        <w:rPr>
          <w:rFonts w:hint="eastAsia"/>
        </w:rPr>
        <w:t>分）。</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13</w:t>
      </w:r>
      <w:r>
        <w:fldChar w:fldCharType="end"/>
      </w:r>
      <w:r>
        <w:rPr>
          <w:rFonts w:hint="eastAsia"/>
        </w:rPr>
        <w:t>用人单位对毕业生个人素质评价</w:t>
      </w:r>
    </w:p>
    <w:tbl>
      <w:tblPr>
        <w:tblW w:w="5000" w:type="pct"/>
        <w:tblLook w:val="04A0" w:firstRow="1" w:lastRow="0" w:firstColumn="1" w:lastColumn="0" w:noHBand="0" w:noVBand="1"/>
      </w:tblPr>
      <w:tblGrid>
        <w:gridCol w:w="5185"/>
        <w:gridCol w:w="3111"/>
      </w:tblGrid>
      <w:tr w:rsidR="00603F28">
        <w:trPr>
          <w:trHeight w:val="300"/>
        </w:trPr>
        <w:tc>
          <w:tcPr>
            <w:tcW w:w="3125"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个人素质</w:t>
            </w:r>
          </w:p>
        </w:tc>
        <w:tc>
          <w:tcPr>
            <w:tcW w:w="1875"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Calibri"/>
                <w:b/>
                <w:bCs/>
                <w:color w:val="FFFFFF"/>
                <w:kern w:val="0"/>
                <w:sz w:val="18"/>
                <w:szCs w:val="18"/>
              </w:rPr>
            </w:pPr>
            <w:r>
              <w:rPr>
                <w:rFonts w:ascii="黑体" w:eastAsia="黑体" w:hAnsi="黑体" w:cs="Calibri" w:hint="eastAsia"/>
                <w:b/>
                <w:bCs/>
                <w:color w:val="FFFFFF"/>
                <w:kern w:val="0"/>
                <w:sz w:val="18"/>
                <w:szCs w:val="18"/>
              </w:rPr>
              <w:t>平均分</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待人真诚</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4.59</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诚实守信</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4.58</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责任感</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4.57</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严谨踏实</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4.56</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乐于助人</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4.56</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具备人文修养</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4.54</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敬业精神</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4.52</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谦虚好学</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4.51</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忠诚度</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4.48</w:t>
            </w:r>
          </w:p>
        </w:tc>
      </w:tr>
      <w:tr w:rsidR="00603F28">
        <w:trPr>
          <w:trHeight w:val="300"/>
        </w:trPr>
        <w:tc>
          <w:tcPr>
            <w:tcW w:w="3125"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具备大局观</w:t>
            </w:r>
          </w:p>
        </w:tc>
        <w:tc>
          <w:tcPr>
            <w:tcW w:w="1875"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4.44</w:t>
            </w:r>
          </w:p>
        </w:tc>
      </w:tr>
      <w:tr w:rsidR="00603F28">
        <w:trPr>
          <w:trHeight w:val="300"/>
        </w:trPr>
        <w:tc>
          <w:tcPr>
            <w:tcW w:w="3125"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具备危机意识</w:t>
            </w:r>
          </w:p>
        </w:tc>
        <w:tc>
          <w:tcPr>
            <w:tcW w:w="1875"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Calibri"/>
                <w:kern w:val="0"/>
                <w:sz w:val="18"/>
                <w:szCs w:val="18"/>
              </w:rPr>
            </w:pPr>
            <w:r>
              <w:rPr>
                <w:rFonts w:ascii="黑体" w:eastAsia="黑体" w:hAnsi="黑体" w:cs="Calibri" w:hint="eastAsia"/>
                <w:kern w:val="0"/>
                <w:sz w:val="18"/>
                <w:szCs w:val="18"/>
              </w:rPr>
              <w:t>4.41</w:t>
            </w:r>
          </w:p>
        </w:tc>
      </w:tr>
    </w:tbl>
    <w:p w:rsidR="00603F28" w:rsidRDefault="00041260">
      <w:pPr>
        <w:pStyle w:val="3"/>
        <w:rPr>
          <w:rFonts w:ascii="Cambria" w:hAnsi="Cambria"/>
          <w:color w:val="000000" w:themeColor="text1"/>
          <w:sz w:val="30"/>
        </w:rPr>
      </w:pPr>
      <w:bookmarkStart w:id="124" w:name="_Toc27642664"/>
      <w:r>
        <w:rPr>
          <w:rFonts w:hint="eastAsia"/>
          <w:color w:val="000000" w:themeColor="text1"/>
        </w:rPr>
        <w:t>（四）用人单位对学校评价</w:t>
      </w:r>
      <w:bookmarkEnd w:id="124"/>
    </w:p>
    <w:p w:rsidR="00603F28" w:rsidRDefault="00041260">
      <w:pPr>
        <w:pStyle w:val="4"/>
        <w:spacing w:before="120"/>
        <w:ind w:left="480"/>
        <w:rPr>
          <w:color w:val="000000" w:themeColor="text1"/>
        </w:rPr>
      </w:pPr>
      <w:r>
        <w:rPr>
          <w:rFonts w:hint="eastAsia"/>
          <w:color w:val="000000" w:themeColor="text1"/>
        </w:rPr>
        <w:t>1.</w:t>
      </w:r>
      <w:r>
        <w:rPr>
          <w:rFonts w:hint="eastAsia"/>
          <w:color w:val="000000" w:themeColor="text1"/>
        </w:rPr>
        <w:t>用人单位对学校人才培养的满意度及改进建议</w:t>
      </w:r>
    </w:p>
    <w:p w:rsidR="00603F28" w:rsidRDefault="00041260">
      <w:pPr>
        <w:ind w:firstLineChars="200" w:firstLine="420"/>
      </w:pPr>
      <w:r>
        <w:rPr>
          <w:rFonts w:hint="eastAsia"/>
        </w:rPr>
        <w:t>用人单位对学校人才培养的满意度为</w:t>
      </w:r>
      <w:r>
        <w:t>100</w:t>
      </w:r>
      <w:r>
        <w:rPr>
          <w:rFonts w:hint="eastAsia"/>
        </w:rPr>
        <w:t>%</w:t>
      </w:r>
      <w:r>
        <w:rPr>
          <w:rFonts w:hint="eastAsia"/>
        </w:rPr>
        <w:t>，其中“非常满意”的比例为</w:t>
      </w:r>
      <w:r>
        <w:rPr>
          <w:rFonts w:hint="eastAsia"/>
        </w:rPr>
        <w:t>49.23%</w:t>
      </w:r>
      <w:r>
        <w:rPr>
          <w:rFonts w:hint="eastAsia"/>
        </w:rPr>
        <w:t>。</w:t>
      </w:r>
    </w:p>
    <w:p w:rsidR="00603F28" w:rsidRDefault="00041260">
      <w:pPr>
        <w:keepNext/>
        <w:jc w:val="center"/>
      </w:pPr>
      <w:r>
        <w:rPr>
          <w:noProof/>
        </w:rPr>
        <w:drawing>
          <wp:inline distT="0" distB="0" distL="0" distR="0">
            <wp:extent cx="4572000" cy="2743200"/>
            <wp:effectExtent l="0" t="0" r="0" b="0"/>
            <wp:docPr id="120" name="图表 120"/>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21</w:t>
      </w:r>
      <w:r>
        <w:fldChar w:fldCharType="end"/>
      </w:r>
      <w:r>
        <w:rPr>
          <w:rFonts w:hint="eastAsia"/>
        </w:rPr>
        <w:t>用人单位对学校人才培养满意度</w:t>
      </w:r>
    </w:p>
    <w:p w:rsidR="00603F28" w:rsidRDefault="00041260">
      <w:pPr>
        <w:ind w:firstLineChars="200" w:firstLine="420"/>
      </w:pPr>
      <w:r>
        <w:rPr>
          <w:rFonts w:hint="eastAsia"/>
        </w:rPr>
        <w:t>用人单位认为学校在人才培养方面亟待改进的地方主要有“加强校企合作”（</w:t>
      </w:r>
      <w:r>
        <w:t>24.40</w:t>
      </w:r>
      <w:r>
        <w:rPr>
          <w:rFonts w:hint="eastAsia"/>
        </w:rPr>
        <w:t>%</w:t>
      </w:r>
      <w:r>
        <w:rPr>
          <w:rFonts w:hint="eastAsia"/>
        </w:rPr>
        <w:t>）、“强化专业实践环节”（</w:t>
      </w:r>
      <w:r>
        <w:t>22.00</w:t>
      </w:r>
      <w:r>
        <w:rPr>
          <w:rFonts w:hint="eastAsia"/>
        </w:rPr>
        <w:t>%</w:t>
      </w:r>
      <w:r>
        <w:rPr>
          <w:rFonts w:hint="eastAsia"/>
        </w:rPr>
        <w:t>）；其次是“夯实专业知识”（</w:t>
      </w:r>
      <w:r>
        <w:t>17.94</w:t>
      </w:r>
      <w:r>
        <w:rPr>
          <w:rFonts w:hint="eastAsia"/>
        </w:rPr>
        <w:t>%</w:t>
      </w:r>
      <w:r>
        <w:rPr>
          <w:rFonts w:hint="eastAsia"/>
        </w:rPr>
        <w:t>）等。</w:t>
      </w:r>
    </w:p>
    <w:p w:rsidR="00603F28" w:rsidRDefault="00041260">
      <w:pPr>
        <w:keepNext/>
        <w:jc w:val="center"/>
      </w:pPr>
      <w:r>
        <w:rPr>
          <w:noProof/>
        </w:rPr>
        <w:drawing>
          <wp:inline distT="0" distB="0" distL="0" distR="0">
            <wp:extent cx="4886960" cy="2794635"/>
            <wp:effectExtent l="0" t="0" r="8890" b="5715"/>
            <wp:docPr id="121" name="图表 121"/>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22</w:t>
      </w:r>
      <w:r>
        <w:fldChar w:fldCharType="end"/>
      </w:r>
      <w:r>
        <w:rPr>
          <w:rFonts w:hint="eastAsia"/>
        </w:rPr>
        <w:t>用人单位对学校人才培养的改进建议</w:t>
      </w:r>
    </w:p>
    <w:p w:rsidR="00603F28" w:rsidRDefault="00041260">
      <w:pPr>
        <w:pStyle w:val="4"/>
        <w:spacing w:before="120"/>
        <w:ind w:left="480"/>
        <w:rPr>
          <w:color w:val="000000" w:themeColor="text1"/>
        </w:rPr>
      </w:pPr>
      <w:r>
        <w:rPr>
          <w:color w:val="000000" w:themeColor="text1"/>
        </w:rPr>
        <w:t>2</w:t>
      </w:r>
      <w:r>
        <w:rPr>
          <w:rFonts w:hint="eastAsia"/>
          <w:color w:val="000000" w:themeColor="text1"/>
        </w:rPr>
        <w:t>.</w:t>
      </w:r>
      <w:r>
        <w:rPr>
          <w:rFonts w:hint="eastAsia"/>
          <w:color w:val="000000" w:themeColor="text1"/>
        </w:rPr>
        <w:t>用人单位对学校就业服务的满意度及改进建议</w:t>
      </w:r>
    </w:p>
    <w:p w:rsidR="00603F28" w:rsidRDefault="00041260">
      <w:pPr>
        <w:ind w:firstLineChars="200" w:firstLine="420"/>
      </w:pPr>
      <w:r>
        <w:rPr>
          <w:rFonts w:hint="eastAsia"/>
        </w:rPr>
        <w:t>用人单位对学校就业服务的满意度为</w:t>
      </w:r>
      <w:r>
        <w:rPr>
          <w:rFonts w:hint="eastAsia"/>
        </w:rPr>
        <w:t>99.</w:t>
      </w:r>
      <w:r>
        <w:t>58</w:t>
      </w:r>
      <w:r>
        <w:rPr>
          <w:rFonts w:hint="eastAsia"/>
        </w:rPr>
        <w:t>%</w:t>
      </w:r>
      <w:r>
        <w:rPr>
          <w:rFonts w:hint="eastAsia"/>
        </w:rPr>
        <w:t>；超五成用人单位表示“非常满意”（</w:t>
      </w:r>
      <w:r>
        <w:rPr>
          <w:rFonts w:hint="eastAsia"/>
        </w:rPr>
        <w:t>5</w:t>
      </w:r>
      <w:r>
        <w:t>4.20</w:t>
      </w:r>
      <w:r>
        <w:rPr>
          <w:rFonts w:hint="eastAsia"/>
        </w:rPr>
        <w:t>%</w:t>
      </w:r>
      <w:r>
        <w:rPr>
          <w:rFonts w:hint="eastAsia"/>
        </w:rPr>
        <w:t>）。</w:t>
      </w:r>
    </w:p>
    <w:p w:rsidR="00603F28" w:rsidRDefault="00041260">
      <w:pPr>
        <w:keepNext/>
        <w:ind w:firstLineChars="200" w:firstLine="420"/>
      </w:pPr>
      <w:r>
        <w:rPr>
          <w:noProof/>
        </w:rPr>
        <w:drawing>
          <wp:inline distT="0" distB="0" distL="0" distR="0">
            <wp:extent cx="4572000" cy="2743200"/>
            <wp:effectExtent l="0" t="0" r="0" b="0"/>
            <wp:docPr id="122" name="图表 122"/>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23</w:t>
      </w:r>
      <w:r>
        <w:fldChar w:fldCharType="end"/>
      </w:r>
      <w:r>
        <w:rPr>
          <w:rFonts w:hint="eastAsia"/>
        </w:rPr>
        <w:t>用人单位对学校就业服务满意度</w:t>
      </w:r>
    </w:p>
    <w:p w:rsidR="00603F28" w:rsidRDefault="00041260">
      <w:pPr>
        <w:ind w:firstLineChars="200" w:firstLine="420"/>
      </w:pPr>
      <w:r>
        <w:rPr>
          <w:rFonts w:hint="eastAsia"/>
        </w:rPr>
        <w:t>用人单位对就业服务工作评分均在</w:t>
      </w:r>
      <w:r>
        <w:rPr>
          <w:rFonts w:hint="eastAsia"/>
        </w:rPr>
        <w:t>4</w:t>
      </w:r>
      <w:r>
        <w:rPr>
          <w:rFonts w:hint="eastAsia"/>
        </w:rPr>
        <w:t>.</w:t>
      </w:r>
      <w:r>
        <w:t>5</w:t>
      </w:r>
      <w:r>
        <w:rPr>
          <w:rFonts w:hint="eastAsia"/>
        </w:rPr>
        <w:t>分以上，其中最高的是“就业网站建设及信息服务”（</w:t>
      </w:r>
      <w:r>
        <w:rPr>
          <w:rFonts w:hint="eastAsia"/>
        </w:rPr>
        <w:t>4.</w:t>
      </w:r>
      <w:r>
        <w:t>61</w:t>
      </w:r>
      <w:r>
        <w:rPr>
          <w:rFonts w:hint="eastAsia"/>
        </w:rPr>
        <w:t>分）；其次是“招聘场地安排对接”（</w:t>
      </w:r>
      <w:r>
        <w:rPr>
          <w:rFonts w:hint="eastAsia"/>
        </w:rPr>
        <w:t>4.6</w:t>
      </w:r>
      <w:r>
        <w:t>1</w:t>
      </w:r>
      <w:r>
        <w:rPr>
          <w:rFonts w:hint="eastAsia"/>
        </w:rPr>
        <w:t>分）和“个性化服务”（</w:t>
      </w:r>
      <w:r>
        <w:rPr>
          <w:rFonts w:hint="eastAsia"/>
        </w:rPr>
        <w:t>4.6</w:t>
      </w:r>
      <w:r>
        <w:rPr>
          <w:rFonts w:hint="eastAsia"/>
        </w:rPr>
        <w:t>分）等。</w:t>
      </w:r>
    </w:p>
    <w:p w:rsidR="00603F28" w:rsidRDefault="00041260">
      <w:pPr>
        <w:pStyle w:val="a3"/>
      </w:pPr>
      <w:r>
        <w:rPr>
          <w:rFonts w:hint="eastAsia"/>
        </w:rPr>
        <w:t>表</w:t>
      </w:r>
      <w:r>
        <w:t>5</w:t>
      </w:r>
      <w:r>
        <w:rPr>
          <w:rFonts w:hint="eastAsia"/>
        </w:rPr>
        <w:t>-</w:t>
      </w:r>
      <w:r>
        <w:fldChar w:fldCharType="begin"/>
      </w:r>
      <w:r>
        <w:rPr>
          <w:rFonts w:hint="eastAsia"/>
        </w:rPr>
        <w:instrText xml:space="preserve">SEQ </w:instrText>
      </w:r>
      <w:r>
        <w:rPr>
          <w:rFonts w:hint="eastAsia"/>
        </w:rPr>
        <w:instrText>表</w:instrText>
      </w:r>
      <w:r>
        <w:rPr>
          <w:rFonts w:hint="eastAsia"/>
        </w:rPr>
        <w:instrText>6- \* ARABIC</w:instrText>
      </w:r>
      <w:r>
        <w:fldChar w:fldCharType="separate"/>
      </w:r>
      <w:r>
        <w:t>14</w:t>
      </w:r>
      <w:r>
        <w:fldChar w:fldCharType="end"/>
      </w:r>
      <w:r>
        <w:rPr>
          <w:rFonts w:hint="eastAsia"/>
        </w:rPr>
        <w:t>用人单位</w:t>
      </w:r>
      <w:r>
        <w:t>对</w:t>
      </w:r>
      <w:r>
        <w:rPr>
          <w:rFonts w:hint="eastAsia"/>
        </w:rPr>
        <w:t>学校就业服务评价</w:t>
      </w:r>
    </w:p>
    <w:tbl>
      <w:tblPr>
        <w:tblW w:w="5000" w:type="pct"/>
        <w:tblLook w:val="04A0" w:firstRow="1" w:lastRow="0" w:firstColumn="1" w:lastColumn="0" w:noHBand="0" w:noVBand="1"/>
      </w:tblPr>
      <w:tblGrid>
        <w:gridCol w:w="5382"/>
        <w:gridCol w:w="2914"/>
      </w:tblGrid>
      <w:tr w:rsidR="00603F28">
        <w:trPr>
          <w:trHeight w:val="300"/>
          <w:tblHeader/>
        </w:trPr>
        <w:tc>
          <w:tcPr>
            <w:tcW w:w="3244" w:type="pct"/>
            <w:tcBorders>
              <w:top w:val="single" w:sz="4" w:space="0" w:color="auto"/>
              <w:left w:val="single" w:sz="4" w:space="0" w:color="auto"/>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就业指导与服务</w:t>
            </w:r>
          </w:p>
        </w:tc>
        <w:tc>
          <w:tcPr>
            <w:tcW w:w="1756" w:type="pct"/>
            <w:tcBorders>
              <w:top w:val="single" w:sz="4" w:space="0" w:color="auto"/>
              <w:left w:val="nil"/>
              <w:bottom w:val="single" w:sz="4" w:space="0" w:color="auto"/>
              <w:right w:val="single" w:sz="4" w:space="0" w:color="auto"/>
            </w:tcBorders>
            <w:shd w:val="clear" w:color="000000" w:fill="D00E2C"/>
            <w:noWrap/>
            <w:vAlign w:val="center"/>
          </w:tcPr>
          <w:p w:rsidR="00603F28" w:rsidRDefault="00041260">
            <w:pPr>
              <w:widowControl/>
              <w:spacing w:line="240" w:lineRule="auto"/>
              <w:jc w:val="center"/>
              <w:rPr>
                <w:rFonts w:ascii="黑体" w:eastAsia="黑体" w:hAnsi="黑体" w:cs="宋体"/>
                <w:b/>
                <w:bCs/>
                <w:color w:val="FFFFFF"/>
                <w:kern w:val="0"/>
                <w:sz w:val="18"/>
                <w:szCs w:val="18"/>
              </w:rPr>
            </w:pPr>
            <w:r>
              <w:rPr>
                <w:rFonts w:ascii="黑体" w:eastAsia="黑体" w:hAnsi="黑体" w:cs="宋体" w:hint="eastAsia"/>
                <w:b/>
                <w:bCs/>
                <w:color w:val="FFFFFF"/>
                <w:kern w:val="0"/>
                <w:sz w:val="18"/>
                <w:szCs w:val="18"/>
              </w:rPr>
              <w:t>平均分</w:t>
            </w:r>
          </w:p>
        </w:tc>
      </w:tr>
      <w:tr w:rsidR="00603F28">
        <w:trPr>
          <w:trHeight w:val="300"/>
        </w:trPr>
        <w:tc>
          <w:tcPr>
            <w:tcW w:w="324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就业网站建设及信息服务</w:t>
            </w:r>
          </w:p>
        </w:tc>
        <w:tc>
          <w:tcPr>
            <w:tcW w:w="17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4.61</w:t>
            </w:r>
          </w:p>
        </w:tc>
      </w:tr>
      <w:tr w:rsidR="00603F28">
        <w:trPr>
          <w:trHeight w:val="300"/>
        </w:trPr>
        <w:tc>
          <w:tcPr>
            <w:tcW w:w="324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招聘场地安排对接</w:t>
            </w:r>
          </w:p>
        </w:tc>
        <w:tc>
          <w:tcPr>
            <w:tcW w:w="17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4.61</w:t>
            </w:r>
          </w:p>
        </w:tc>
      </w:tr>
      <w:tr w:rsidR="00603F28">
        <w:trPr>
          <w:trHeight w:val="300"/>
        </w:trPr>
        <w:tc>
          <w:tcPr>
            <w:tcW w:w="324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个性化服务（单独面试室及定时段等）</w:t>
            </w:r>
          </w:p>
        </w:tc>
        <w:tc>
          <w:tcPr>
            <w:tcW w:w="17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4.6</w:t>
            </w:r>
          </w:p>
        </w:tc>
      </w:tr>
      <w:tr w:rsidR="00603F28">
        <w:trPr>
          <w:trHeight w:val="300"/>
        </w:trPr>
        <w:tc>
          <w:tcPr>
            <w:tcW w:w="324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毕业生就业指导与推荐</w:t>
            </w:r>
          </w:p>
        </w:tc>
        <w:tc>
          <w:tcPr>
            <w:tcW w:w="17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4.58</w:t>
            </w:r>
          </w:p>
        </w:tc>
      </w:tr>
      <w:tr w:rsidR="00603F28">
        <w:trPr>
          <w:trHeight w:val="300"/>
        </w:trPr>
        <w:tc>
          <w:tcPr>
            <w:tcW w:w="3244" w:type="pct"/>
            <w:tcBorders>
              <w:top w:val="nil"/>
              <w:left w:val="single" w:sz="4" w:space="0" w:color="auto"/>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毕业生档案管理</w:t>
            </w:r>
          </w:p>
        </w:tc>
        <w:tc>
          <w:tcPr>
            <w:tcW w:w="1756" w:type="pct"/>
            <w:tcBorders>
              <w:top w:val="nil"/>
              <w:left w:val="nil"/>
              <w:bottom w:val="single" w:sz="4" w:space="0" w:color="auto"/>
              <w:right w:val="single" w:sz="4" w:space="0" w:color="auto"/>
            </w:tcBorders>
            <w:shd w:val="clear" w:color="000000" w:fill="FFE5E5"/>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4.58</w:t>
            </w:r>
          </w:p>
        </w:tc>
      </w:tr>
      <w:tr w:rsidR="00603F28">
        <w:trPr>
          <w:trHeight w:val="300"/>
        </w:trPr>
        <w:tc>
          <w:tcPr>
            <w:tcW w:w="3244" w:type="pct"/>
            <w:tcBorders>
              <w:top w:val="nil"/>
              <w:left w:val="single" w:sz="4" w:space="0" w:color="auto"/>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组织毕业生参会情况</w:t>
            </w:r>
          </w:p>
        </w:tc>
        <w:tc>
          <w:tcPr>
            <w:tcW w:w="1756" w:type="pct"/>
            <w:tcBorders>
              <w:top w:val="nil"/>
              <w:left w:val="nil"/>
              <w:bottom w:val="single" w:sz="4" w:space="0" w:color="auto"/>
              <w:right w:val="single" w:sz="4" w:space="0" w:color="auto"/>
            </w:tcBorders>
            <w:shd w:val="clear" w:color="auto" w:fill="auto"/>
            <w:noWrap/>
            <w:vAlign w:val="center"/>
          </w:tcPr>
          <w:p w:rsidR="00603F28" w:rsidRDefault="00041260">
            <w:pPr>
              <w:widowControl/>
              <w:spacing w:line="240" w:lineRule="auto"/>
              <w:jc w:val="center"/>
              <w:rPr>
                <w:rFonts w:ascii="黑体" w:eastAsia="黑体" w:hAnsi="黑体" w:cs="宋体"/>
                <w:kern w:val="0"/>
                <w:sz w:val="18"/>
                <w:szCs w:val="18"/>
              </w:rPr>
            </w:pPr>
            <w:r>
              <w:rPr>
                <w:rFonts w:ascii="黑体" w:eastAsia="黑体" w:hAnsi="黑体" w:cs="宋体" w:hint="eastAsia"/>
                <w:kern w:val="0"/>
                <w:sz w:val="18"/>
                <w:szCs w:val="18"/>
              </w:rPr>
              <w:t>4.55</w:t>
            </w:r>
          </w:p>
        </w:tc>
      </w:tr>
    </w:tbl>
    <w:p w:rsidR="00603F28" w:rsidRDefault="00041260">
      <w:pPr>
        <w:ind w:firstLineChars="200" w:firstLine="420"/>
      </w:pPr>
      <w:r>
        <w:rPr>
          <w:rFonts w:hint="eastAsia"/>
        </w:rPr>
        <w:t>用人单位对学校就业服务工作的改进建议主要是希望“加强宣传力度”（</w:t>
      </w:r>
      <w:r>
        <w:rPr>
          <w:rFonts w:hint="eastAsia"/>
        </w:rPr>
        <w:t>2</w:t>
      </w:r>
      <w:r>
        <w:t>9.28</w:t>
      </w:r>
      <w:r>
        <w:rPr>
          <w:rFonts w:hint="eastAsia"/>
        </w:rPr>
        <w:t>%</w:t>
      </w:r>
      <w:r>
        <w:rPr>
          <w:rFonts w:hint="eastAsia"/>
        </w:rPr>
        <w:t>）、“加强校企沟通，走访用人单位”（</w:t>
      </w:r>
      <w:r>
        <w:rPr>
          <w:rFonts w:hint="eastAsia"/>
        </w:rPr>
        <w:t>2</w:t>
      </w:r>
      <w:r>
        <w:t>7.08</w:t>
      </w:r>
      <w:r>
        <w:rPr>
          <w:rFonts w:hint="eastAsia"/>
        </w:rPr>
        <w:t>%</w:t>
      </w:r>
      <w:r>
        <w:rPr>
          <w:rFonts w:hint="eastAsia"/>
        </w:rPr>
        <w:t>）和“增加招聘场次”（</w:t>
      </w:r>
      <w:r>
        <w:rPr>
          <w:rFonts w:hint="eastAsia"/>
        </w:rPr>
        <w:t>24</w:t>
      </w:r>
      <w:r>
        <w:t>.37%</w:t>
      </w:r>
      <w:r>
        <w:rPr>
          <w:rFonts w:hint="eastAsia"/>
        </w:rPr>
        <w:t>）。</w:t>
      </w:r>
    </w:p>
    <w:p w:rsidR="00603F28" w:rsidRDefault="00041260">
      <w:pPr>
        <w:keepNext/>
      </w:pPr>
      <w:r>
        <w:rPr>
          <w:noProof/>
        </w:rPr>
        <w:drawing>
          <wp:inline distT="0" distB="0" distL="0" distR="0">
            <wp:extent cx="4877435" cy="2788920"/>
            <wp:effectExtent l="0" t="0" r="0" b="0"/>
            <wp:docPr id="123" name="图表 123"/>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603F28" w:rsidRDefault="00041260">
      <w:pPr>
        <w:pStyle w:val="a3"/>
      </w:pPr>
      <w:r>
        <w:rPr>
          <w:rFonts w:hint="eastAsia"/>
        </w:rPr>
        <w:t>图</w:t>
      </w:r>
      <w:r>
        <w:t>5</w:t>
      </w:r>
      <w:r>
        <w:rPr>
          <w:rFonts w:hint="eastAsia"/>
        </w:rPr>
        <w:t>-</w:t>
      </w:r>
      <w:r>
        <w:fldChar w:fldCharType="begin"/>
      </w:r>
      <w:r>
        <w:rPr>
          <w:rFonts w:hint="eastAsia"/>
        </w:rPr>
        <w:instrText xml:space="preserve">SEQ </w:instrText>
      </w:r>
      <w:r>
        <w:rPr>
          <w:rFonts w:hint="eastAsia"/>
        </w:rPr>
        <w:instrText>图</w:instrText>
      </w:r>
      <w:r>
        <w:rPr>
          <w:rFonts w:hint="eastAsia"/>
        </w:rPr>
        <w:instrText>6- \* ARABIC</w:instrText>
      </w:r>
      <w:r>
        <w:fldChar w:fldCharType="separate"/>
      </w:r>
      <w:r>
        <w:t>24</w:t>
      </w:r>
      <w:r>
        <w:fldChar w:fldCharType="end"/>
      </w:r>
      <w:r>
        <w:rPr>
          <w:rFonts w:hint="eastAsia"/>
        </w:rPr>
        <w:t>用人单位对学校就业服务的建议</w:t>
      </w:r>
    </w:p>
    <w:p w:rsidR="00603F28" w:rsidRDefault="00041260">
      <w:pPr>
        <w:pStyle w:val="a3"/>
        <w:jc w:val="both"/>
      </w:pPr>
      <w:r>
        <w:br w:type="page"/>
      </w:r>
    </w:p>
    <w:p w:rsidR="00603F28" w:rsidRDefault="00041260">
      <w:pPr>
        <w:pStyle w:val="1"/>
        <w:spacing w:line="360" w:lineRule="auto"/>
        <w:rPr>
          <w:rFonts w:ascii="宋体" w:hAnsi="宋体"/>
        </w:rPr>
      </w:pPr>
      <w:bookmarkStart w:id="125" w:name="_Toc27642665"/>
      <w:r>
        <w:rPr>
          <w:rFonts w:ascii="宋体" w:hAnsi="宋体" w:cs="宋体" w:hint="eastAsia"/>
        </w:rPr>
        <w:t>第六章</w:t>
      </w:r>
      <w:r>
        <w:rPr>
          <w:rFonts w:ascii="宋体" w:hAnsi="宋体" w:cs="宋体"/>
        </w:rPr>
        <w:t xml:space="preserve"> </w:t>
      </w:r>
      <w:r>
        <w:rPr>
          <w:rFonts w:ascii="time" w:hAnsi="time" w:hint="eastAsia"/>
        </w:rPr>
        <w:t>2019</w:t>
      </w:r>
      <w:r>
        <w:rPr>
          <w:rFonts w:ascii="time" w:hAnsi="time" w:hint="eastAsia"/>
        </w:rPr>
        <w:t>届毕业生及用人单位调研反馈分析总结</w:t>
      </w:r>
      <w:bookmarkEnd w:id="125"/>
    </w:p>
    <w:p w:rsidR="00603F28" w:rsidRDefault="00041260">
      <w:pPr>
        <w:ind w:firstLineChars="200" w:firstLine="420"/>
      </w:pPr>
      <w:r>
        <w:rPr>
          <w:rFonts w:hint="eastAsia"/>
        </w:rPr>
        <w:t>江西财经大学</w:t>
      </w:r>
      <w:r>
        <w:t>秉承</w:t>
      </w:r>
      <w:r>
        <w:rPr>
          <w:rFonts w:hint="eastAsia"/>
        </w:rPr>
        <w:t>“</w:t>
      </w:r>
      <w:r>
        <w:t>信敏廉毅</w:t>
      </w:r>
      <w:r>
        <w:rPr>
          <w:rFonts w:hint="eastAsia"/>
        </w:rPr>
        <w:t>”</w:t>
      </w:r>
      <w:r>
        <w:t>的校训和</w:t>
      </w:r>
      <w:r>
        <w:rPr>
          <w:rFonts w:hint="eastAsia"/>
        </w:rPr>
        <w:t>“</w:t>
      </w:r>
      <w:r>
        <w:t>敬业乐群、臻于至善</w:t>
      </w:r>
      <w:r>
        <w:rPr>
          <w:rFonts w:hint="eastAsia"/>
        </w:rPr>
        <w:t>”</w:t>
      </w:r>
      <w:r>
        <w:t>的大学精神，形成了培养具有</w:t>
      </w:r>
      <w:r>
        <w:rPr>
          <w:rFonts w:hint="eastAsia"/>
        </w:rPr>
        <w:t>“</w:t>
      </w:r>
      <w:r>
        <w:t>信敏廉毅</w:t>
      </w:r>
      <w:r>
        <w:rPr>
          <w:rFonts w:hint="eastAsia"/>
        </w:rPr>
        <w:t>”</w:t>
      </w:r>
      <w:r>
        <w:t>素质的创新创业型人才的办学特色。学校坚持质量立校、特色兴校、人才强校、法德治校，形成了在红土地上培育创新创业型人才的办学模式，走出了在欠发达地区办人民满意高校的路子，正努力朝着</w:t>
      </w:r>
      <w:r>
        <w:rPr>
          <w:rFonts w:hint="eastAsia"/>
        </w:rPr>
        <w:t>“</w:t>
      </w:r>
      <w:r>
        <w:t>基础厚实、特色鲜明、人民满意、国际知名的高水平财经大学</w:t>
      </w:r>
      <w:r>
        <w:rPr>
          <w:rFonts w:hint="eastAsia"/>
        </w:rPr>
        <w:t>”</w:t>
      </w:r>
      <w:r>
        <w:t>的发展目标，实现</w:t>
      </w:r>
      <w:r>
        <w:rPr>
          <w:rFonts w:hint="eastAsia"/>
        </w:rPr>
        <w:t>“</w:t>
      </w:r>
      <w:r>
        <w:t>百年名校</w:t>
      </w:r>
      <w:r>
        <w:rPr>
          <w:rFonts w:hint="eastAsia"/>
        </w:rPr>
        <w:t>”</w:t>
      </w:r>
      <w:r>
        <w:t>江财梦迈进。</w:t>
      </w:r>
    </w:p>
    <w:p w:rsidR="00603F28" w:rsidRDefault="00041260">
      <w:pPr>
        <w:pStyle w:val="3"/>
        <w:numPr>
          <w:ilvl w:val="0"/>
          <w:numId w:val="1"/>
        </w:numPr>
        <w:rPr>
          <w:rFonts w:cstheme="majorBidi"/>
          <w:sz w:val="30"/>
        </w:rPr>
      </w:pPr>
      <w:bookmarkStart w:id="126" w:name="_Toc27642666"/>
      <w:r>
        <w:rPr>
          <w:rFonts w:cstheme="majorBidi" w:hint="eastAsia"/>
          <w:sz w:val="30"/>
        </w:rPr>
        <w:t>就业质量：毕业生就业结构合理，就业质量高</w:t>
      </w:r>
      <w:bookmarkEnd w:id="126"/>
    </w:p>
    <w:p w:rsidR="00603F28" w:rsidRDefault="00041260">
      <w:pPr>
        <w:ind w:firstLineChars="200" w:firstLine="420"/>
        <w:rPr>
          <w:rFonts w:ascii="time" w:hAnsi="time" w:hint="eastAsia"/>
        </w:rPr>
      </w:pPr>
      <w:r>
        <w:rPr>
          <w:rFonts w:ascii="time" w:hAnsi="time" w:hint="eastAsia"/>
        </w:rPr>
        <w:t>近年来，学校以教学质量为核心，以结构调整为突破，不断优化学科及专业结构，提升毕业生所学知识与人才市场需求的粘合度，加强毕业生就业能力建设，努力提升毕业生就业质量。调研数据显示，</w:t>
      </w:r>
      <w:r>
        <w:rPr>
          <w:rFonts w:ascii="time" w:hAnsi="time" w:cs="Times New Roman" w:hint="eastAsia"/>
          <w:szCs w:val="21"/>
        </w:rPr>
        <w:t>毕业生总体就业状况</w:t>
      </w:r>
      <w:r>
        <w:rPr>
          <w:rFonts w:ascii="time" w:hAnsi="time" w:cs="Times New Roman" w:hint="eastAsia"/>
          <w:szCs w:val="21"/>
        </w:rPr>
        <w:t>良好，毕业生就业率高。毕业生初次就业率为</w:t>
      </w:r>
      <w:r>
        <w:rPr>
          <w:rFonts w:ascii="time" w:hAnsi="time" w:cs="Times New Roman" w:hint="eastAsia"/>
          <w:szCs w:val="21"/>
        </w:rPr>
        <w:t>83.39%</w:t>
      </w:r>
      <w:r>
        <w:rPr>
          <w:rFonts w:ascii="time" w:hAnsi="time" w:cs="Times New Roman" w:hint="eastAsia"/>
          <w:szCs w:val="21"/>
        </w:rPr>
        <w:t>，常规就业率为</w:t>
      </w:r>
      <w:r>
        <w:rPr>
          <w:rFonts w:ascii="time" w:hAnsi="time" w:cs="Times New Roman" w:hint="eastAsia"/>
          <w:szCs w:val="21"/>
        </w:rPr>
        <w:t>64.26%</w:t>
      </w:r>
      <w:r>
        <w:rPr>
          <w:rFonts w:ascii="time" w:hAnsi="time" w:cs="Times New Roman" w:hint="eastAsia"/>
          <w:szCs w:val="21"/>
        </w:rPr>
        <w:t>。</w:t>
      </w:r>
      <w:r>
        <w:rPr>
          <w:rFonts w:ascii="time" w:hAnsi="time" w:hint="eastAsia"/>
        </w:rPr>
        <w:t>近六届</w:t>
      </w:r>
      <w:r>
        <w:rPr>
          <w:rFonts w:ascii="time" w:hAnsi="time" w:cs="Times New Roman" w:hint="eastAsia"/>
          <w:szCs w:val="21"/>
        </w:rPr>
        <w:t>本科毕业生初次就业率和常规就业率趋势基本稳定。</w:t>
      </w:r>
      <w:r>
        <w:rPr>
          <w:rFonts w:ascii="time" w:hAnsi="time" w:cs="Times New Roman" w:hint="eastAsia"/>
          <w:szCs w:val="21"/>
        </w:rPr>
        <w:t>2019</w:t>
      </w:r>
      <w:r>
        <w:rPr>
          <w:rFonts w:ascii="time" w:hAnsi="time" w:cs="Times New Roman" w:hint="eastAsia"/>
          <w:szCs w:val="21"/>
        </w:rPr>
        <w:t>届本科毕业生以高质量签约就业形式为主，占毕业生总人数的</w:t>
      </w:r>
      <w:r>
        <w:rPr>
          <w:rFonts w:ascii="time" w:hAnsi="time" w:cs="Times New Roman" w:hint="eastAsia"/>
          <w:szCs w:val="21"/>
        </w:rPr>
        <w:t>3</w:t>
      </w:r>
      <w:r>
        <w:rPr>
          <w:rFonts w:ascii="time" w:hAnsi="time" w:cs="Times New Roman"/>
          <w:szCs w:val="21"/>
        </w:rPr>
        <w:t>2.31</w:t>
      </w:r>
      <w:r>
        <w:rPr>
          <w:rFonts w:ascii="time" w:hAnsi="time" w:cs="Times New Roman" w:hint="eastAsia"/>
          <w:szCs w:val="21"/>
        </w:rPr>
        <w:t>%</w:t>
      </w:r>
      <w:r>
        <w:rPr>
          <w:rFonts w:ascii="time" w:hAnsi="time" w:cs="Times New Roman" w:hint="eastAsia"/>
          <w:szCs w:val="21"/>
        </w:rPr>
        <w:t>；</w:t>
      </w:r>
      <w:r>
        <w:rPr>
          <w:rFonts w:ascii="time" w:hAnsi="time" w:hint="eastAsia"/>
        </w:rPr>
        <w:t>2</w:t>
      </w:r>
      <w:r>
        <w:rPr>
          <w:rFonts w:ascii="time" w:hAnsi="time"/>
        </w:rPr>
        <w:t>019</w:t>
      </w:r>
      <w:r>
        <w:rPr>
          <w:rFonts w:ascii="time" w:hAnsi="time" w:hint="eastAsia"/>
        </w:rPr>
        <w:t>届本科毕业生就业结构合理，就业质量高。</w:t>
      </w:r>
    </w:p>
    <w:p w:rsidR="00603F28" w:rsidRDefault="00041260">
      <w:pPr>
        <w:pStyle w:val="3"/>
        <w:rPr>
          <w:rFonts w:ascii="time" w:hAnsi="time" w:hint="eastAsia"/>
        </w:rPr>
      </w:pPr>
      <w:bookmarkStart w:id="127" w:name="_Toc27642667"/>
      <w:r>
        <w:rPr>
          <w:rFonts w:ascii="time" w:hAnsi="time" w:hint="eastAsia"/>
        </w:rPr>
        <w:t>（一）毕业生升学高校层次高，自主创业氛围好</w:t>
      </w:r>
      <w:bookmarkEnd w:id="127"/>
    </w:p>
    <w:p w:rsidR="00603F28" w:rsidRDefault="00041260">
      <w:pPr>
        <w:ind w:firstLineChars="200" w:firstLine="422"/>
        <w:rPr>
          <w:rFonts w:ascii="time" w:hAnsi="time" w:hint="eastAsia"/>
        </w:rPr>
      </w:pPr>
      <w:r>
        <w:rPr>
          <w:rFonts w:ascii="time" w:hAnsi="time" w:hint="eastAsia"/>
          <w:b/>
        </w:rPr>
        <w:t>毕业生升学人数多，升学高校层次高。</w:t>
      </w:r>
      <w:r>
        <w:rPr>
          <w:rFonts w:ascii="time" w:hAnsi="time" w:hint="eastAsia"/>
        </w:rPr>
        <w:t>2019</w:t>
      </w:r>
      <w:r>
        <w:rPr>
          <w:rFonts w:ascii="time" w:hAnsi="time" w:hint="eastAsia"/>
        </w:rPr>
        <w:t>届本科毕业生国内升学人数为</w:t>
      </w:r>
      <w:r>
        <w:rPr>
          <w:rFonts w:ascii="time" w:hAnsi="time"/>
        </w:rPr>
        <w:t>896</w:t>
      </w:r>
      <w:r>
        <w:rPr>
          <w:rFonts w:ascii="time" w:hAnsi="time" w:hint="eastAsia"/>
        </w:rPr>
        <w:t>人，总体国内升学率为</w:t>
      </w:r>
      <w:r>
        <w:rPr>
          <w:rFonts w:ascii="time" w:hAnsi="time"/>
        </w:rPr>
        <w:t>17.45</w:t>
      </w:r>
      <w:r>
        <w:rPr>
          <w:rFonts w:ascii="time" w:hAnsi="time" w:hint="eastAsia"/>
        </w:rPr>
        <w:t>%</w:t>
      </w:r>
      <w:r>
        <w:rPr>
          <w:rFonts w:ascii="time" w:hAnsi="time" w:hint="eastAsia"/>
        </w:rPr>
        <w:t>，其中升学至“双一流建设”高校的毕业生为</w:t>
      </w:r>
      <w:r>
        <w:rPr>
          <w:rFonts w:ascii="time" w:hAnsi="time" w:hint="eastAsia"/>
        </w:rPr>
        <w:t>529</w:t>
      </w:r>
      <w:r>
        <w:rPr>
          <w:rFonts w:ascii="time" w:hAnsi="time" w:hint="eastAsia"/>
        </w:rPr>
        <w:t>人，占升学总人数比为</w:t>
      </w:r>
      <w:r>
        <w:rPr>
          <w:rFonts w:ascii="time" w:hAnsi="time" w:hint="eastAsia"/>
        </w:rPr>
        <w:t>59.04%</w:t>
      </w:r>
      <w:r>
        <w:rPr>
          <w:rFonts w:ascii="time" w:hAnsi="time" w:hint="eastAsia"/>
        </w:rPr>
        <w:t>；</w:t>
      </w:r>
      <w:r>
        <w:rPr>
          <w:rFonts w:ascii="time" w:hAnsi="time" w:hint="eastAsia"/>
        </w:rPr>
        <w:t>2019</w:t>
      </w:r>
      <w:r>
        <w:rPr>
          <w:rFonts w:ascii="time" w:hAnsi="time" w:hint="eastAsia"/>
        </w:rPr>
        <w:t>届本科毕业生出国（</w:t>
      </w:r>
      <w:r>
        <w:rPr>
          <w:rFonts w:ascii="time" w:hAnsi="time" w:hint="eastAsia"/>
        </w:rPr>
        <w:t>境）人数为</w:t>
      </w:r>
      <w:r>
        <w:rPr>
          <w:rFonts w:ascii="time" w:hAnsi="time" w:hint="eastAsia"/>
        </w:rPr>
        <w:t>64</w:t>
      </w:r>
      <w:r>
        <w:rPr>
          <w:rFonts w:ascii="time" w:hAnsi="time"/>
        </w:rPr>
        <w:t>2</w:t>
      </w:r>
      <w:r>
        <w:rPr>
          <w:rFonts w:ascii="time" w:hAnsi="time" w:hint="eastAsia"/>
        </w:rPr>
        <w:t>人，总体出国（境）率为</w:t>
      </w:r>
      <w:r>
        <w:rPr>
          <w:rFonts w:ascii="time" w:hAnsi="time" w:hint="eastAsia"/>
        </w:rPr>
        <w:t>12.5</w:t>
      </w:r>
      <w:r>
        <w:rPr>
          <w:rFonts w:ascii="time" w:hAnsi="time"/>
        </w:rPr>
        <w:t>0</w:t>
      </w:r>
      <w:r>
        <w:rPr>
          <w:rFonts w:ascii="time" w:hAnsi="time" w:hint="eastAsia"/>
        </w:rPr>
        <w:t>%</w:t>
      </w:r>
      <w:r>
        <w:rPr>
          <w:rFonts w:ascii="time" w:hAnsi="time" w:hint="eastAsia"/>
        </w:rPr>
        <w:t>，其中出国至</w:t>
      </w:r>
      <w:r>
        <w:rPr>
          <w:rFonts w:ascii="time" w:hAnsi="time" w:hint="eastAsia"/>
        </w:rPr>
        <w:t>QS</w:t>
      </w:r>
      <w:r>
        <w:rPr>
          <w:rFonts w:ascii="time" w:hAnsi="time" w:hint="eastAsia"/>
        </w:rPr>
        <w:t>世界大学的人数为</w:t>
      </w:r>
      <w:r>
        <w:rPr>
          <w:rFonts w:ascii="time" w:hAnsi="time" w:hint="eastAsia"/>
        </w:rPr>
        <w:t>541</w:t>
      </w:r>
      <w:r>
        <w:rPr>
          <w:rFonts w:ascii="time" w:hAnsi="time" w:hint="eastAsia"/>
        </w:rPr>
        <w:t>人，占出国（境）总人数的</w:t>
      </w:r>
      <w:r>
        <w:rPr>
          <w:rFonts w:ascii="time" w:hAnsi="time" w:hint="eastAsia"/>
        </w:rPr>
        <w:t>84.14%</w:t>
      </w:r>
      <w:r>
        <w:rPr>
          <w:rFonts w:ascii="time" w:hAnsi="time" w:hint="eastAsia"/>
        </w:rPr>
        <w:t>，出国（境）升学质量极高。综合显示，国（境）内、外升学质量较高；</w:t>
      </w:r>
      <w:r>
        <w:rPr>
          <w:rFonts w:ascii="time" w:hAnsi="time" w:hint="eastAsia"/>
          <w:b/>
        </w:rPr>
        <w:t>自主创业氛围好，江西省及高校创业扶持力度大。</w:t>
      </w:r>
      <w:r>
        <w:rPr>
          <w:rFonts w:ascii="time" w:hAnsi="time" w:hint="eastAsia"/>
        </w:rPr>
        <w:t>2019</w:t>
      </w:r>
      <w:r>
        <w:rPr>
          <w:rFonts w:ascii="time" w:hAnsi="time" w:hint="eastAsia"/>
        </w:rPr>
        <w:t>届本科毕业生自主创业人数为</w:t>
      </w:r>
      <w:r>
        <w:rPr>
          <w:rFonts w:ascii="time" w:hAnsi="time" w:hint="eastAsia"/>
        </w:rPr>
        <w:t>26</w:t>
      </w:r>
      <w:r>
        <w:rPr>
          <w:rFonts w:ascii="time" w:hAnsi="time" w:hint="eastAsia"/>
        </w:rPr>
        <w:t>人，创业地区集中在江西省内。毕业生自主创业资金主要来源于大学生创业贷款（</w:t>
      </w:r>
      <w:r>
        <w:rPr>
          <w:rFonts w:ascii="time" w:hAnsi="time" w:hint="eastAsia"/>
        </w:rPr>
        <w:t>42.86%</w:t>
      </w:r>
      <w:r>
        <w:rPr>
          <w:rFonts w:ascii="time" w:hAnsi="time" w:hint="eastAsia"/>
        </w:rPr>
        <w:t>）和创业扶持基金（</w:t>
      </w:r>
      <w:r>
        <w:rPr>
          <w:rFonts w:ascii="time" w:hAnsi="time" w:hint="eastAsia"/>
        </w:rPr>
        <w:t>25.87%</w:t>
      </w:r>
      <w:r>
        <w:rPr>
          <w:rFonts w:ascii="time" w:hAnsi="time" w:hint="eastAsia"/>
        </w:rPr>
        <w:t>），这表明学校对毕业生自主创业从实际行动上进行了大力扶持。</w:t>
      </w:r>
    </w:p>
    <w:p w:rsidR="00603F28" w:rsidRDefault="00041260">
      <w:pPr>
        <w:pStyle w:val="3"/>
        <w:rPr>
          <w:rFonts w:ascii="time" w:hAnsi="time" w:hint="eastAsia"/>
        </w:rPr>
      </w:pPr>
      <w:bookmarkStart w:id="128" w:name="_Toc27642668"/>
      <w:r>
        <w:rPr>
          <w:rFonts w:ascii="time" w:hAnsi="time" w:hint="eastAsia"/>
        </w:rPr>
        <w:t>（二）毕业生就业满意度高，人职匹配度高</w:t>
      </w:r>
      <w:bookmarkEnd w:id="128"/>
    </w:p>
    <w:p w:rsidR="00603F28" w:rsidRDefault="00041260">
      <w:pPr>
        <w:ind w:firstLineChars="200" w:firstLine="422"/>
        <w:rPr>
          <w:rFonts w:ascii="time" w:hAnsi="time" w:hint="eastAsia"/>
        </w:rPr>
      </w:pPr>
      <w:r>
        <w:rPr>
          <w:rFonts w:ascii="time" w:hAnsi="time" w:hint="eastAsia"/>
          <w:b/>
        </w:rPr>
        <w:t>毕业生就业满意度高，总体就业</w:t>
      </w:r>
      <w:r>
        <w:rPr>
          <w:rFonts w:ascii="time" w:hAnsi="time" w:hint="eastAsia"/>
          <w:b/>
        </w:rPr>
        <w:t>满意度为</w:t>
      </w:r>
      <w:r>
        <w:rPr>
          <w:rFonts w:ascii="time" w:hAnsi="time" w:hint="eastAsia"/>
          <w:b/>
        </w:rPr>
        <w:t>83.33%</w:t>
      </w:r>
      <w:r>
        <w:rPr>
          <w:rFonts w:ascii="time" w:hAnsi="time" w:hint="eastAsia"/>
          <w:b/>
        </w:rPr>
        <w:t>。</w:t>
      </w:r>
      <w:r>
        <w:rPr>
          <w:rFonts w:ascii="time" w:hAnsi="time" w:hint="eastAsia"/>
        </w:rPr>
        <w:t>从就业满意度来看，</w:t>
      </w:r>
      <w:r>
        <w:rPr>
          <w:rFonts w:ascii="time" w:hAnsi="time" w:hint="eastAsia"/>
        </w:rPr>
        <w:t>2</w:t>
      </w:r>
      <w:r>
        <w:rPr>
          <w:rFonts w:ascii="time" w:hAnsi="time"/>
        </w:rPr>
        <w:t>019</w:t>
      </w:r>
      <w:r>
        <w:rPr>
          <w:rFonts w:ascii="time" w:hAnsi="time" w:hint="eastAsia"/>
        </w:rPr>
        <w:t>届本科毕业生总体就业满意度为</w:t>
      </w:r>
      <w:r>
        <w:rPr>
          <w:rFonts w:ascii="time" w:hAnsi="time"/>
        </w:rPr>
        <w:t>83.33%</w:t>
      </w:r>
      <w:r>
        <w:rPr>
          <w:rFonts w:ascii="time" w:hAnsi="time" w:hint="eastAsia"/>
        </w:rPr>
        <w:t>，</w:t>
      </w:r>
      <w:r>
        <w:rPr>
          <w:rFonts w:ascii="time" w:hAnsi="time" w:hint="eastAsia"/>
        </w:rPr>
        <w:t>2019</w:t>
      </w:r>
      <w:r>
        <w:rPr>
          <w:rFonts w:ascii="time" w:hAnsi="time" w:hint="eastAsia"/>
        </w:rPr>
        <w:t>届本科毕业生就业满意度同比</w:t>
      </w:r>
      <w:r>
        <w:rPr>
          <w:rFonts w:ascii="time" w:hAnsi="time" w:hint="eastAsia"/>
        </w:rPr>
        <w:t>2018</w:t>
      </w:r>
      <w:r>
        <w:rPr>
          <w:rFonts w:ascii="time" w:hAnsi="time" w:hint="eastAsia"/>
        </w:rPr>
        <w:t>年增长</w:t>
      </w:r>
      <w:r>
        <w:rPr>
          <w:rFonts w:ascii="time" w:hAnsi="time" w:hint="eastAsia"/>
        </w:rPr>
        <w:t>11.8%</w:t>
      </w:r>
      <w:r>
        <w:rPr>
          <w:rFonts w:ascii="time" w:hAnsi="time" w:hint="eastAsia"/>
        </w:rPr>
        <w:t>；</w:t>
      </w:r>
      <w:r>
        <w:rPr>
          <w:rFonts w:ascii="time" w:hAnsi="time" w:hint="eastAsia"/>
          <w:b/>
        </w:rPr>
        <w:t>毕业生就业月平均薪资增长幅度大，专业相关度高。</w:t>
      </w:r>
      <w:r>
        <w:rPr>
          <w:rFonts w:ascii="time" w:hAnsi="time" w:hint="eastAsia"/>
        </w:rPr>
        <w:t>从平均薪资来看，</w:t>
      </w:r>
      <w:r>
        <w:rPr>
          <w:rFonts w:ascii="time" w:hAnsi="time" w:hint="eastAsia"/>
        </w:rPr>
        <w:t>2019</w:t>
      </w:r>
      <w:r>
        <w:rPr>
          <w:rFonts w:ascii="time" w:hAnsi="time" w:hint="eastAsia"/>
        </w:rPr>
        <w:t>届本科毕业生平均薪资为</w:t>
      </w:r>
      <w:r>
        <w:rPr>
          <w:rFonts w:ascii="time" w:hAnsi="time" w:hint="eastAsia"/>
        </w:rPr>
        <w:t>6</w:t>
      </w:r>
      <w:r>
        <w:rPr>
          <w:rFonts w:ascii="time" w:hAnsi="time"/>
        </w:rPr>
        <w:t>2</w:t>
      </w:r>
      <w:r>
        <w:rPr>
          <w:rFonts w:ascii="time" w:hAnsi="time" w:hint="eastAsia"/>
        </w:rPr>
        <w:t>8</w:t>
      </w:r>
      <w:r>
        <w:rPr>
          <w:rFonts w:ascii="time" w:hAnsi="time"/>
        </w:rPr>
        <w:t>8</w:t>
      </w:r>
      <w:r>
        <w:rPr>
          <w:rFonts w:ascii="time" w:hAnsi="time" w:hint="eastAsia"/>
        </w:rPr>
        <w:t>元，其中软件与物联网工程学院毕业生的平均薪资最高，为</w:t>
      </w:r>
      <w:r>
        <w:rPr>
          <w:rFonts w:ascii="time" w:hAnsi="time" w:hint="eastAsia"/>
        </w:rPr>
        <w:t>7422</w:t>
      </w:r>
      <w:r>
        <w:rPr>
          <w:rFonts w:ascii="time" w:hAnsi="time" w:hint="eastAsia"/>
        </w:rPr>
        <w:t>元，其次是会计学院（</w:t>
      </w:r>
      <w:r>
        <w:rPr>
          <w:rFonts w:ascii="time" w:hAnsi="time" w:hint="eastAsia"/>
        </w:rPr>
        <w:t>6894</w:t>
      </w:r>
      <w:r>
        <w:rPr>
          <w:rFonts w:ascii="time" w:hAnsi="time" w:hint="eastAsia"/>
        </w:rPr>
        <w:t>元）和信息管理学院（</w:t>
      </w:r>
      <w:r>
        <w:rPr>
          <w:rFonts w:ascii="time" w:hAnsi="time" w:hint="eastAsia"/>
        </w:rPr>
        <w:t>6833</w:t>
      </w:r>
      <w:r>
        <w:rPr>
          <w:rFonts w:ascii="time" w:hAnsi="time" w:hint="eastAsia"/>
        </w:rPr>
        <w:t>元）。近三</w:t>
      </w:r>
      <w:r>
        <w:rPr>
          <w:rFonts w:ascii="time" w:hAnsi="time" w:cs="Times New Roman" w:hint="eastAsia"/>
          <w:szCs w:val="21"/>
        </w:rPr>
        <w:t>届本科毕业生平均薪资呈稳步上升趋势，</w:t>
      </w:r>
      <w:r>
        <w:rPr>
          <w:rFonts w:ascii="time" w:hAnsi="time" w:cs="Times New Roman" w:hint="eastAsia"/>
          <w:szCs w:val="21"/>
        </w:rPr>
        <w:t>2019</w:t>
      </w:r>
      <w:r>
        <w:rPr>
          <w:rFonts w:ascii="time" w:hAnsi="time" w:cs="Times New Roman" w:hint="eastAsia"/>
          <w:szCs w:val="21"/>
        </w:rPr>
        <w:t>届本科毕业生平均薪资同比</w:t>
      </w:r>
      <w:r>
        <w:rPr>
          <w:rFonts w:ascii="time" w:hAnsi="time" w:cs="Times New Roman" w:hint="eastAsia"/>
          <w:szCs w:val="21"/>
        </w:rPr>
        <w:t>2018</w:t>
      </w:r>
      <w:r>
        <w:rPr>
          <w:rFonts w:ascii="time" w:hAnsi="time" w:cs="Times New Roman" w:hint="eastAsia"/>
          <w:szCs w:val="21"/>
        </w:rPr>
        <w:t>届毕业生上升</w:t>
      </w:r>
      <w:r>
        <w:rPr>
          <w:rFonts w:ascii="time" w:hAnsi="time" w:cs="Times New Roman" w:hint="eastAsia"/>
          <w:szCs w:val="21"/>
        </w:rPr>
        <w:t>1</w:t>
      </w:r>
      <w:r>
        <w:rPr>
          <w:rFonts w:ascii="time" w:hAnsi="time" w:cs="Times New Roman"/>
          <w:szCs w:val="21"/>
        </w:rPr>
        <w:t>3.81</w:t>
      </w:r>
      <w:r>
        <w:rPr>
          <w:rFonts w:ascii="time" w:hAnsi="time" w:cs="Times New Roman" w:hint="eastAsia"/>
          <w:szCs w:val="21"/>
        </w:rPr>
        <w:t>%</w:t>
      </w:r>
      <w:r>
        <w:rPr>
          <w:rFonts w:ascii="time" w:hAnsi="time" w:cs="Times New Roman" w:hint="eastAsia"/>
          <w:szCs w:val="21"/>
        </w:rPr>
        <w:t>；</w:t>
      </w:r>
      <w:r>
        <w:rPr>
          <w:rFonts w:ascii="time" w:hAnsi="time" w:cs="Times New Roman" w:hint="eastAsia"/>
          <w:b/>
          <w:szCs w:val="21"/>
        </w:rPr>
        <w:t>从专业相关度来看，</w:t>
      </w:r>
      <w:r>
        <w:rPr>
          <w:rFonts w:ascii="time" w:hAnsi="time" w:cs="Times New Roman" w:hint="eastAsia"/>
          <w:b/>
          <w:szCs w:val="21"/>
        </w:rPr>
        <w:t>2019</w:t>
      </w:r>
      <w:r>
        <w:rPr>
          <w:rFonts w:ascii="time" w:hAnsi="time" w:cs="Times New Roman" w:hint="eastAsia"/>
          <w:b/>
          <w:szCs w:val="21"/>
        </w:rPr>
        <w:t>届本科毕业生工作与专业相关度高，为</w:t>
      </w:r>
      <w:r>
        <w:rPr>
          <w:rFonts w:ascii="time" w:hAnsi="time" w:cs="Times New Roman" w:hint="eastAsia"/>
          <w:b/>
          <w:szCs w:val="21"/>
        </w:rPr>
        <w:t>67.58%</w:t>
      </w:r>
      <w:r>
        <w:rPr>
          <w:rFonts w:ascii="time" w:hAnsi="time" w:cs="Times New Roman" w:hint="eastAsia"/>
          <w:b/>
          <w:szCs w:val="21"/>
        </w:rPr>
        <w:t>，</w:t>
      </w:r>
      <w:r>
        <w:rPr>
          <w:rFonts w:ascii="time" w:hAnsi="time" w:cs="Times New Roman" w:hint="eastAsia"/>
          <w:szCs w:val="21"/>
        </w:rPr>
        <w:t>近三届毕业生工作与专业相关度趋势保持稳定。</w:t>
      </w:r>
    </w:p>
    <w:p w:rsidR="00603F28" w:rsidRDefault="00041260">
      <w:pPr>
        <w:ind w:firstLineChars="200" w:firstLine="422"/>
        <w:rPr>
          <w:rFonts w:ascii="time" w:hAnsi="time" w:hint="eastAsia"/>
        </w:rPr>
      </w:pPr>
      <w:r>
        <w:rPr>
          <w:rFonts w:ascii="time" w:hAnsi="time" w:hint="eastAsia"/>
          <w:b/>
        </w:rPr>
        <w:t>毕业生综合就业质量高，优势培养专业更为显著。</w:t>
      </w:r>
      <w:r>
        <w:rPr>
          <w:rFonts w:ascii="time" w:hAnsi="time" w:hint="eastAsia"/>
        </w:rPr>
        <w:t>2019</w:t>
      </w:r>
      <w:r>
        <w:rPr>
          <w:rFonts w:ascii="time" w:hAnsi="time" w:hint="eastAsia"/>
        </w:rPr>
        <w:t>届本科毕业生各学院就业质量综合评价数据显示，金融学院和会计学院的综合就业质量位列前</w:t>
      </w:r>
      <w:r>
        <w:rPr>
          <w:rFonts w:ascii="time" w:hAnsi="time" w:hint="eastAsia"/>
        </w:rPr>
        <w:t>2</w:t>
      </w:r>
      <w:r>
        <w:rPr>
          <w:rFonts w:ascii="time" w:hAnsi="time" w:hint="eastAsia"/>
        </w:rPr>
        <w:t>名，分别为</w:t>
      </w:r>
      <w:r>
        <w:rPr>
          <w:rFonts w:ascii="time" w:hAnsi="time" w:hint="eastAsia"/>
        </w:rPr>
        <w:t>84</w:t>
      </w:r>
      <w:r>
        <w:rPr>
          <w:rFonts w:ascii="time" w:hAnsi="time" w:hint="eastAsia"/>
        </w:rPr>
        <w:t>分和</w:t>
      </w:r>
      <w:r>
        <w:rPr>
          <w:rFonts w:ascii="time" w:hAnsi="time" w:hint="eastAsia"/>
        </w:rPr>
        <w:t>82.39</w:t>
      </w:r>
      <w:r>
        <w:rPr>
          <w:rFonts w:ascii="time" w:hAnsi="time" w:hint="eastAsia"/>
        </w:rPr>
        <w:t>分；各专业类别就业质量综合评价数据显示，金融学类、计算机类和会计学类毕业生就业质量位列前</w:t>
      </w:r>
      <w:r>
        <w:rPr>
          <w:rFonts w:ascii="time" w:hAnsi="time" w:hint="eastAsia"/>
        </w:rPr>
        <w:t>5</w:t>
      </w:r>
      <w:r>
        <w:rPr>
          <w:rFonts w:ascii="time" w:hAnsi="time" w:hint="eastAsia"/>
        </w:rPr>
        <w:t>名，综合就业质量分数分别为</w:t>
      </w:r>
      <w:r>
        <w:rPr>
          <w:rFonts w:ascii="time" w:hAnsi="time" w:hint="eastAsia"/>
        </w:rPr>
        <w:t>77.84</w:t>
      </w:r>
      <w:r>
        <w:rPr>
          <w:rFonts w:ascii="time" w:hAnsi="time" w:hint="eastAsia"/>
        </w:rPr>
        <w:t>分、</w:t>
      </w:r>
      <w:r>
        <w:rPr>
          <w:rFonts w:ascii="time" w:hAnsi="time" w:hint="eastAsia"/>
        </w:rPr>
        <w:t>77.75</w:t>
      </w:r>
      <w:r>
        <w:rPr>
          <w:rFonts w:ascii="time" w:hAnsi="time" w:hint="eastAsia"/>
        </w:rPr>
        <w:t>分和</w:t>
      </w:r>
      <w:r>
        <w:rPr>
          <w:rFonts w:ascii="time" w:hAnsi="time" w:hint="eastAsia"/>
        </w:rPr>
        <w:t>76.64</w:t>
      </w:r>
      <w:r>
        <w:rPr>
          <w:rFonts w:ascii="time" w:hAnsi="time" w:hint="eastAsia"/>
        </w:rPr>
        <w:t>分。</w:t>
      </w:r>
      <w:r>
        <w:rPr>
          <w:rFonts w:ascii="time" w:hAnsi="time" w:hint="eastAsia"/>
        </w:rPr>
        <w:t>2019</w:t>
      </w:r>
      <w:r>
        <w:rPr>
          <w:rFonts w:ascii="time" w:hAnsi="time" w:hint="eastAsia"/>
        </w:rPr>
        <w:t>届升学率较高的学院为会计学院（</w:t>
      </w:r>
      <w:r>
        <w:rPr>
          <w:rFonts w:ascii="time" w:hAnsi="time" w:hint="eastAsia"/>
        </w:rPr>
        <w:t>171</w:t>
      </w:r>
      <w:r>
        <w:rPr>
          <w:rFonts w:ascii="time" w:hAnsi="time" w:hint="eastAsia"/>
        </w:rPr>
        <w:t>人，升学率</w:t>
      </w:r>
      <w:r>
        <w:rPr>
          <w:rFonts w:ascii="time" w:hAnsi="time" w:hint="eastAsia"/>
        </w:rPr>
        <w:t>19.08%</w:t>
      </w:r>
      <w:r>
        <w:rPr>
          <w:rFonts w:ascii="time" w:hAnsi="time" w:hint="eastAsia"/>
        </w:rPr>
        <w:t>）和金</w:t>
      </w:r>
      <w:r>
        <w:rPr>
          <w:rFonts w:ascii="time" w:hAnsi="time" w:hint="eastAsia"/>
        </w:rPr>
        <w:t>融学院（</w:t>
      </w:r>
      <w:r>
        <w:rPr>
          <w:rFonts w:ascii="time" w:hAnsi="time" w:hint="eastAsia"/>
        </w:rPr>
        <w:t>109</w:t>
      </w:r>
      <w:r>
        <w:rPr>
          <w:rFonts w:ascii="time" w:hAnsi="time" w:hint="eastAsia"/>
        </w:rPr>
        <w:t>人，升学率</w:t>
      </w:r>
      <w:r>
        <w:rPr>
          <w:rFonts w:ascii="time" w:hAnsi="time" w:hint="eastAsia"/>
        </w:rPr>
        <w:t>12.17%</w:t>
      </w:r>
      <w:r>
        <w:rPr>
          <w:rFonts w:ascii="time" w:hAnsi="time" w:hint="eastAsia"/>
        </w:rPr>
        <w:t>）；出国（境）率较高的学院为国际学院（</w:t>
      </w:r>
      <w:r>
        <w:rPr>
          <w:rFonts w:ascii="time" w:hAnsi="time" w:hint="eastAsia"/>
        </w:rPr>
        <w:t>221</w:t>
      </w:r>
      <w:r>
        <w:rPr>
          <w:rFonts w:ascii="time" w:hAnsi="time" w:hint="eastAsia"/>
        </w:rPr>
        <w:t>人，出国（境）率</w:t>
      </w:r>
      <w:r>
        <w:rPr>
          <w:rFonts w:ascii="time" w:hAnsi="time" w:hint="eastAsia"/>
        </w:rPr>
        <w:t>34.37%</w:t>
      </w:r>
      <w:r>
        <w:rPr>
          <w:rFonts w:ascii="time" w:hAnsi="time" w:hint="eastAsia"/>
        </w:rPr>
        <w:t>）和会计学院（</w:t>
      </w:r>
      <w:r>
        <w:rPr>
          <w:rFonts w:ascii="time" w:hAnsi="time"/>
        </w:rPr>
        <w:t>167</w:t>
      </w:r>
      <w:r>
        <w:rPr>
          <w:rFonts w:ascii="time" w:hAnsi="time" w:hint="eastAsia"/>
        </w:rPr>
        <w:t>人，出国（境）率</w:t>
      </w:r>
      <w:r>
        <w:rPr>
          <w:rFonts w:ascii="time" w:hAnsi="time"/>
        </w:rPr>
        <w:t>25.97</w:t>
      </w:r>
      <w:r>
        <w:rPr>
          <w:rFonts w:ascii="time" w:hAnsi="time" w:hint="eastAsia"/>
        </w:rPr>
        <w:t>%</w:t>
      </w:r>
      <w:r>
        <w:rPr>
          <w:rFonts w:ascii="time" w:hAnsi="time" w:hint="eastAsia"/>
        </w:rPr>
        <w:t>）。</w:t>
      </w:r>
    </w:p>
    <w:p w:rsidR="00603F28" w:rsidRDefault="00041260">
      <w:pPr>
        <w:pStyle w:val="3"/>
        <w:rPr>
          <w:rFonts w:ascii="time" w:hAnsi="time" w:cstheme="majorBidi" w:hint="eastAsia"/>
          <w:color w:val="000000" w:themeColor="text1"/>
          <w:sz w:val="30"/>
        </w:rPr>
      </w:pPr>
      <w:bookmarkStart w:id="129" w:name="_Toc27642669"/>
      <w:r>
        <w:rPr>
          <w:rFonts w:ascii="time" w:hAnsi="time" w:cstheme="majorBidi" w:hint="eastAsia"/>
          <w:color w:val="000000" w:themeColor="text1"/>
          <w:sz w:val="30"/>
        </w:rPr>
        <w:t>二、行业就业：就业彰显学科优势，服务国家地方经济发展</w:t>
      </w:r>
      <w:bookmarkEnd w:id="129"/>
    </w:p>
    <w:p w:rsidR="00603F28" w:rsidRDefault="00041260">
      <w:pPr>
        <w:ind w:firstLineChars="200" w:firstLine="420"/>
        <w:rPr>
          <w:rFonts w:ascii="time" w:hAnsi="time" w:hint="eastAsia"/>
        </w:rPr>
      </w:pPr>
      <w:r>
        <w:rPr>
          <w:rFonts w:ascii="time" w:hAnsi="time" w:hint="eastAsia"/>
        </w:rPr>
        <w:t>学校就业行业特色明显，凸显学校以培养目标达成度为导向的行业人才培养模式。学校高度重视大学生职业价值观引领，积极响应党和国家的号召，将毕业生家国情怀和现实选择有机融合。</w:t>
      </w:r>
    </w:p>
    <w:p w:rsidR="00603F28" w:rsidRDefault="00041260">
      <w:pPr>
        <w:pStyle w:val="3"/>
        <w:rPr>
          <w:rFonts w:ascii="time" w:hAnsi="time" w:hint="eastAsia"/>
        </w:rPr>
      </w:pPr>
      <w:bookmarkStart w:id="130" w:name="_Toc27642670"/>
      <w:r>
        <w:rPr>
          <w:rFonts w:ascii="time" w:hAnsi="time" w:hint="eastAsia"/>
        </w:rPr>
        <w:t>（一）金融业、制造业行业带动就业明显，提升人才培养达成度</w:t>
      </w:r>
      <w:bookmarkEnd w:id="130"/>
    </w:p>
    <w:p w:rsidR="00603F28" w:rsidRDefault="00041260">
      <w:pPr>
        <w:ind w:firstLine="422"/>
        <w:rPr>
          <w:rFonts w:ascii="time" w:hAnsi="time" w:hint="eastAsia"/>
        </w:rPr>
      </w:pPr>
      <w:r>
        <w:rPr>
          <w:rFonts w:ascii="time" w:hAnsi="time" w:hint="eastAsia"/>
          <w:b/>
        </w:rPr>
        <w:t>从就业行业看，毕业生主要就业行业为金融业和制造业。</w:t>
      </w:r>
      <w:r>
        <w:rPr>
          <w:rFonts w:ascii="time" w:hAnsi="time" w:hint="eastAsia"/>
        </w:rPr>
        <w:t>2</w:t>
      </w:r>
      <w:r>
        <w:rPr>
          <w:rFonts w:ascii="time" w:hAnsi="time"/>
        </w:rPr>
        <w:t>019</w:t>
      </w:r>
      <w:r>
        <w:rPr>
          <w:rFonts w:ascii="time" w:hAnsi="time" w:hint="eastAsia"/>
        </w:rPr>
        <w:t>届本科毕业生</w:t>
      </w:r>
      <w:r>
        <w:rPr>
          <w:rFonts w:ascii="time" w:hAnsi="time" w:hint="eastAsia"/>
        </w:rPr>
        <w:t>就业行业主要是金融业（</w:t>
      </w:r>
      <w:r>
        <w:rPr>
          <w:rFonts w:ascii="time" w:hAnsi="time"/>
        </w:rPr>
        <w:t>645</w:t>
      </w:r>
      <w:r>
        <w:rPr>
          <w:rFonts w:ascii="time" w:hAnsi="time" w:hint="eastAsia"/>
        </w:rPr>
        <w:t>人，占比</w:t>
      </w:r>
      <w:r>
        <w:rPr>
          <w:rFonts w:ascii="time" w:hAnsi="time"/>
        </w:rPr>
        <w:t>24.49</w:t>
      </w:r>
      <w:r>
        <w:rPr>
          <w:rFonts w:ascii="time" w:hAnsi="time" w:hint="eastAsia"/>
        </w:rPr>
        <w:t>%</w:t>
      </w:r>
      <w:r>
        <w:rPr>
          <w:rFonts w:ascii="time" w:hAnsi="time" w:hint="eastAsia"/>
        </w:rPr>
        <w:t>）、制造业（</w:t>
      </w:r>
      <w:r>
        <w:rPr>
          <w:rFonts w:ascii="time" w:hAnsi="time"/>
        </w:rPr>
        <w:t>361</w:t>
      </w:r>
      <w:r>
        <w:rPr>
          <w:rFonts w:ascii="time" w:hAnsi="time" w:hint="eastAsia"/>
        </w:rPr>
        <w:t>人，占比</w:t>
      </w:r>
      <w:r>
        <w:rPr>
          <w:rFonts w:ascii="time" w:hAnsi="time"/>
        </w:rPr>
        <w:t>13.71</w:t>
      </w:r>
      <w:r>
        <w:rPr>
          <w:rFonts w:ascii="time" w:hAnsi="time" w:hint="eastAsia"/>
        </w:rPr>
        <w:t>%</w:t>
      </w:r>
      <w:r>
        <w:rPr>
          <w:rFonts w:ascii="time" w:hAnsi="time" w:hint="eastAsia"/>
        </w:rPr>
        <w:t>）和信息传输、软件和信息技术服务业（</w:t>
      </w:r>
      <w:r>
        <w:rPr>
          <w:rFonts w:ascii="time" w:hAnsi="time" w:hint="eastAsia"/>
        </w:rPr>
        <w:t>313</w:t>
      </w:r>
      <w:r>
        <w:rPr>
          <w:rFonts w:ascii="time" w:hAnsi="time" w:hint="eastAsia"/>
        </w:rPr>
        <w:t>人，占比</w:t>
      </w:r>
      <w:r>
        <w:rPr>
          <w:rFonts w:ascii="time" w:hAnsi="time" w:hint="eastAsia"/>
        </w:rPr>
        <w:t>11.88%</w:t>
      </w:r>
      <w:r>
        <w:rPr>
          <w:rFonts w:ascii="time" w:hAnsi="time" w:hint="eastAsia"/>
        </w:rPr>
        <w:t>），以金融业和制造业行业为主的就业趋势较显著，且金融业就业比例较</w:t>
      </w:r>
      <w:r>
        <w:rPr>
          <w:rFonts w:ascii="time" w:hAnsi="time" w:hint="eastAsia"/>
        </w:rPr>
        <w:t>2018</w:t>
      </w:r>
      <w:r>
        <w:rPr>
          <w:rFonts w:ascii="time" w:hAnsi="time" w:hint="eastAsia"/>
        </w:rPr>
        <w:t>届有所提升。从毕业生签约世界</w:t>
      </w:r>
      <w:r>
        <w:rPr>
          <w:rFonts w:ascii="time" w:hAnsi="time" w:hint="eastAsia"/>
        </w:rPr>
        <w:t>500</w:t>
      </w:r>
      <w:r>
        <w:rPr>
          <w:rFonts w:ascii="time" w:hAnsi="time" w:hint="eastAsia"/>
        </w:rPr>
        <w:t>强企业的情况来看，签约单位主要为中国建筑集团有限公司、中国工商银行等制造业和金融业行业单位。从毕业生典型单位就业情况来看，毕业生在银行、证券、保险等典型就业单位就业的人数为</w:t>
      </w:r>
      <w:r>
        <w:rPr>
          <w:rFonts w:ascii="time" w:hAnsi="time" w:hint="eastAsia"/>
        </w:rPr>
        <w:t>665</w:t>
      </w:r>
      <w:r>
        <w:rPr>
          <w:rFonts w:ascii="time" w:hAnsi="time" w:hint="eastAsia"/>
        </w:rPr>
        <w:t>人，占通过各种录用形式落实就业单位人数的</w:t>
      </w:r>
      <w:r>
        <w:rPr>
          <w:rFonts w:ascii="time" w:hAnsi="time" w:hint="eastAsia"/>
        </w:rPr>
        <w:t>25.25%</w:t>
      </w:r>
      <w:r>
        <w:rPr>
          <w:rFonts w:ascii="time" w:hAnsi="time" w:hint="eastAsia"/>
        </w:rPr>
        <w:t>。</w:t>
      </w:r>
    </w:p>
    <w:p w:rsidR="00603F28" w:rsidRDefault="00041260">
      <w:pPr>
        <w:ind w:firstLine="422"/>
        <w:rPr>
          <w:rFonts w:ascii="time" w:hAnsi="time" w:cs="Times New Roman" w:hint="eastAsia"/>
          <w:szCs w:val="21"/>
        </w:rPr>
      </w:pPr>
      <w:r>
        <w:rPr>
          <w:rFonts w:ascii="time" w:hAnsi="time" w:hint="eastAsia"/>
          <w:b/>
        </w:rPr>
        <w:t>从工作职位类别看，毕业生</w:t>
      </w:r>
      <w:r>
        <w:rPr>
          <w:rFonts w:ascii="time" w:hAnsi="time" w:hint="eastAsia"/>
          <w:b/>
        </w:rPr>
        <w:t>主要工作职位类别为经济业务人员，占比近四成。</w:t>
      </w:r>
      <w:r>
        <w:rPr>
          <w:rFonts w:ascii="time" w:hAnsi="time" w:hint="eastAsia"/>
        </w:rPr>
        <w:t>2</w:t>
      </w:r>
      <w:r>
        <w:rPr>
          <w:rFonts w:ascii="time" w:hAnsi="time"/>
        </w:rPr>
        <w:t>019</w:t>
      </w:r>
      <w:r>
        <w:rPr>
          <w:rFonts w:ascii="time" w:hAnsi="time" w:hint="eastAsia"/>
        </w:rPr>
        <w:t>届本科毕业生工作职位主要是经济业务人员（</w:t>
      </w:r>
      <w:r>
        <w:rPr>
          <w:rFonts w:ascii="time" w:hAnsi="time" w:hint="eastAsia"/>
        </w:rPr>
        <w:t>1</w:t>
      </w:r>
      <w:r>
        <w:rPr>
          <w:rFonts w:ascii="time" w:hAnsi="time"/>
        </w:rPr>
        <w:t>047</w:t>
      </w:r>
      <w:r>
        <w:rPr>
          <w:rFonts w:ascii="time" w:hAnsi="time" w:hint="eastAsia"/>
        </w:rPr>
        <w:t>人，占比</w:t>
      </w:r>
      <w:r>
        <w:rPr>
          <w:rFonts w:ascii="time" w:hAnsi="time"/>
        </w:rPr>
        <w:t>39.75</w:t>
      </w:r>
      <w:r>
        <w:rPr>
          <w:rFonts w:ascii="time" w:hAnsi="time" w:hint="eastAsia"/>
        </w:rPr>
        <w:t>%</w:t>
      </w:r>
      <w:r>
        <w:rPr>
          <w:rFonts w:ascii="time" w:hAnsi="time" w:hint="eastAsia"/>
        </w:rPr>
        <w:t>）、办事人员和有关人员（</w:t>
      </w:r>
      <w:r>
        <w:rPr>
          <w:rFonts w:ascii="time" w:hAnsi="time"/>
        </w:rPr>
        <w:t>384</w:t>
      </w:r>
      <w:r>
        <w:rPr>
          <w:rFonts w:ascii="time" w:hAnsi="time" w:hint="eastAsia"/>
        </w:rPr>
        <w:t>人，占比</w:t>
      </w:r>
      <w:r>
        <w:rPr>
          <w:rFonts w:ascii="time" w:hAnsi="time"/>
        </w:rPr>
        <w:t>14.58</w:t>
      </w:r>
      <w:r>
        <w:rPr>
          <w:rFonts w:ascii="time" w:hAnsi="time" w:hint="eastAsia"/>
        </w:rPr>
        <w:t>%</w:t>
      </w:r>
      <w:r>
        <w:rPr>
          <w:rFonts w:ascii="time" w:hAnsi="time" w:hint="eastAsia"/>
        </w:rPr>
        <w:t>）和金融业务人员（</w:t>
      </w:r>
      <w:r>
        <w:rPr>
          <w:rFonts w:ascii="time" w:hAnsi="time" w:hint="eastAsia"/>
        </w:rPr>
        <w:t>304</w:t>
      </w:r>
      <w:r>
        <w:rPr>
          <w:rFonts w:ascii="time" w:hAnsi="time" w:hint="eastAsia"/>
        </w:rPr>
        <w:t>人，占比</w:t>
      </w:r>
      <w:r>
        <w:rPr>
          <w:rFonts w:ascii="time" w:hAnsi="time"/>
        </w:rPr>
        <w:t>11.54</w:t>
      </w:r>
      <w:r>
        <w:rPr>
          <w:rFonts w:ascii="time" w:hAnsi="time" w:hint="eastAsia"/>
        </w:rPr>
        <w:t>%</w:t>
      </w:r>
      <w:r>
        <w:rPr>
          <w:rFonts w:ascii="time" w:hAnsi="time" w:hint="eastAsia"/>
        </w:rPr>
        <w:t>），其中</w:t>
      </w:r>
      <w:r>
        <w:rPr>
          <w:rFonts w:ascii="time" w:hAnsi="time" w:cs="Times New Roman" w:hint="eastAsia"/>
          <w:szCs w:val="21"/>
        </w:rPr>
        <w:t>经济业务人员（</w:t>
      </w:r>
      <w:r>
        <w:rPr>
          <w:rFonts w:ascii="time" w:hAnsi="time" w:cs="Times New Roman"/>
          <w:szCs w:val="21"/>
        </w:rPr>
        <w:t>39.75</w:t>
      </w:r>
      <w:r>
        <w:rPr>
          <w:rFonts w:ascii="time" w:hAnsi="time" w:cs="Times New Roman" w:hint="eastAsia"/>
          <w:szCs w:val="21"/>
        </w:rPr>
        <w:t>%</w:t>
      </w:r>
      <w:r>
        <w:rPr>
          <w:rFonts w:ascii="time" w:hAnsi="time" w:cs="Times New Roman" w:hint="eastAsia"/>
          <w:szCs w:val="21"/>
        </w:rPr>
        <w:t>）的就业比例较</w:t>
      </w:r>
      <w:r>
        <w:rPr>
          <w:rFonts w:ascii="time" w:hAnsi="time" w:cs="Times New Roman" w:hint="eastAsia"/>
          <w:szCs w:val="21"/>
        </w:rPr>
        <w:t>2018</w:t>
      </w:r>
      <w:r>
        <w:rPr>
          <w:rFonts w:ascii="time" w:hAnsi="time" w:cs="Times New Roman" w:hint="eastAsia"/>
          <w:szCs w:val="21"/>
        </w:rPr>
        <w:t>届提升了</w:t>
      </w:r>
      <w:r>
        <w:rPr>
          <w:rFonts w:ascii="time" w:hAnsi="time" w:cs="Times New Roman"/>
          <w:szCs w:val="21"/>
        </w:rPr>
        <w:t>2.49</w:t>
      </w:r>
      <w:r>
        <w:rPr>
          <w:rFonts w:ascii="time" w:hAnsi="time" w:cs="Times New Roman" w:hint="eastAsia"/>
          <w:szCs w:val="21"/>
        </w:rPr>
        <w:t>%</w:t>
      </w:r>
      <w:r>
        <w:rPr>
          <w:rFonts w:ascii="time" w:hAnsi="time" w:cs="Times New Roman" w:hint="eastAsia"/>
          <w:szCs w:val="21"/>
        </w:rPr>
        <w:t>。</w:t>
      </w:r>
    </w:p>
    <w:p w:rsidR="00603F28" w:rsidRDefault="00041260">
      <w:pPr>
        <w:ind w:firstLine="422"/>
        <w:rPr>
          <w:rFonts w:ascii="time" w:hAnsi="time" w:hint="eastAsia"/>
        </w:rPr>
      </w:pPr>
      <w:r>
        <w:rPr>
          <w:rFonts w:ascii="time" w:hAnsi="time" w:hint="eastAsia"/>
        </w:rPr>
        <w:t>因此，学校应紧紧依托学校办学学科优势和毕业生就业行业优势，将专业链深度融入行业和企业，面向行业需求和发展趋势，不断优化人才培养方案，创新人才培养方式，创新高校与行业企业联合培养人才的机制，提升学生的实践能力、创新能力和国</w:t>
      </w:r>
      <w:r>
        <w:rPr>
          <w:rFonts w:ascii="time" w:hAnsi="time" w:hint="eastAsia"/>
        </w:rPr>
        <w:t>际竞争力。</w:t>
      </w:r>
    </w:p>
    <w:p w:rsidR="00603F28" w:rsidRDefault="00041260">
      <w:pPr>
        <w:pStyle w:val="3"/>
        <w:rPr>
          <w:rFonts w:ascii="time" w:eastAsia="方正细黑一_GBK" w:hAnsi="time" w:hint="eastAsia"/>
          <w:sz w:val="18"/>
          <w:szCs w:val="18"/>
        </w:rPr>
      </w:pPr>
      <w:bookmarkStart w:id="131" w:name="_Toc534362028"/>
      <w:bookmarkStart w:id="132" w:name="_Toc531267401"/>
      <w:bookmarkStart w:id="133" w:name="_Toc27642671"/>
      <w:r>
        <w:rPr>
          <w:rFonts w:ascii="time" w:hAnsi="time" w:hint="eastAsia"/>
        </w:rPr>
        <w:t>（二）毕业生就业服务国家地方发展战略</w:t>
      </w:r>
      <w:bookmarkEnd w:id="131"/>
      <w:bookmarkEnd w:id="132"/>
      <w:r>
        <w:rPr>
          <w:rFonts w:ascii="time" w:hAnsi="time" w:hint="eastAsia"/>
        </w:rPr>
        <w:t>，彰显家国情怀</w:t>
      </w:r>
      <w:bookmarkEnd w:id="133"/>
    </w:p>
    <w:p w:rsidR="00603F28" w:rsidRDefault="00041260">
      <w:pPr>
        <w:ind w:firstLineChars="200" w:firstLine="422"/>
        <w:rPr>
          <w:rFonts w:ascii="time" w:hAnsi="time" w:hint="eastAsia"/>
        </w:rPr>
      </w:pPr>
      <w:r>
        <w:rPr>
          <w:rFonts w:ascii="time" w:hAnsi="time" w:hint="eastAsia"/>
          <w:b/>
        </w:rPr>
        <w:t>在基层就业、西部就业方面，优势学科毕业生积极服务国家发展战略。</w:t>
      </w:r>
      <w:r>
        <w:rPr>
          <w:rFonts w:ascii="time" w:hAnsi="time" w:hint="eastAsia"/>
        </w:rPr>
        <w:t>2</w:t>
      </w:r>
      <w:r>
        <w:rPr>
          <w:rFonts w:ascii="time" w:hAnsi="time"/>
        </w:rPr>
        <w:t>019</w:t>
      </w:r>
      <w:r>
        <w:rPr>
          <w:rFonts w:ascii="time" w:hAnsi="time" w:hint="eastAsia"/>
        </w:rPr>
        <w:t>届本科毕业生在基层就业的人数为</w:t>
      </w:r>
      <w:r>
        <w:rPr>
          <w:rFonts w:ascii="time" w:hAnsi="time" w:hint="eastAsia"/>
        </w:rPr>
        <w:t>3</w:t>
      </w:r>
      <w:r>
        <w:rPr>
          <w:rFonts w:ascii="time" w:hAnsi="time"/>
        </w:rPr>
        <w:t>89</w:t>
      </w:r>
      <w:r>
        <w:rPr>
          <w:rFonts w:ascii="time" w:hAnsi="time" w:hint="eastAsia"/>
        </w:rPr>
        <w:t>人，占通过各种录用形式落实就业单位人数的</w:t>
      </w:r>
      <w:r>
        <w:rPr>
          <w:rFonts w:ascii="time" w:hAnsi="time"/>
        </w:rPr>
        <w:t>14.77</w:t>
      </w:r>
      <w:r>
        <w:rPr>
          <w:rFonts w:ascii="time" w:hAnsi="time" w:hint="eastAsia"/>
        </w:rPr>
        <w:t>%</w:t>
      </w:r>
      <w:r>
        <w:rPr>
          <w:rFonts w:ascii="time" w:hAnsi="time" w:hint="eastAsia"/>
        </w:rPr>
        <w:t>，其中主要集中在浙江省义乌市和江西省南昌县，基层就业人数较多的主要有会计学院（</w:t>
      </w:r>
      <w:r>
        <w:rPr>
          <w:rFonts w:ascii="time" w:hAnsi="time" w:hint="eastAsia"/>
        </w:rPr>
        <w:t>92</w:t>
      </w:r>
      <w:r>
        <w:rPr>
          <w:rFonts w:ascii="time" w:hAnsi="time" w:hint="eastAsia"/>
        </w:rPr>
        <w:t>人，占比</w:t>
      </w:r>
      <w:r>
        <w:rPr>
          <w:rFonts w:ascii="time" w:hAnsi="time" w:hint="eastAsia"/>
        </w:rPr>
        <w:t>23.65%</w:t>
      </w:r>
      <w:r>
        <w:rPr>
          <w:rFonts w:ascii="time" w:hAnsi="time" w:hint="eastAsia"/>
        </w:rPr>
        <w:t>）、国际学院（</w:t>
      </w:r>
      <w:r>
        <w:rPr>
          <w:rFonts w:ascii="time" w:hAnsi="time" w:hint="eastAsia"/>
        </w:rPr>
        <w:t>72</w:t>
      </w:r>
      <w:r>
        <w:rPr>
          <w:rFonts w:ascii="time" w:hAnsi="time" w:hint="eastAsia"/>
        </w:rPr>
        <w:t>人，占比</w:t>
      </w:r>
      <w:r>
        <w:rPr>
          <w:rFonts w:ascii="time" w:hAnsi="time" w:hint="eastAsia"/>
        </w:rPr>
        <w:t>18.51%</w:t>
      </w:r>
      <w:r>
        <w:rPr>
          <w:rFonts w:ascii="time" w:hAnsi="time" w:hint="eastAsia"/>
        </w:rPr>
        <w:t>）和金融学院（</w:t>
      </w:r>
      <w:r>
        <w:rPr>
          <w:rFonts w:ascii="time" w:hAnsi="time" w:hint="eastAsia"/>
        </w:rPr>
        <w:t>44</w:t>
      </w:r>
      <w:r>
        <w:rPr>
          <w:rFonts w:ascii="time" w:hAnsi="time" w:hint="eastAsia"/>
        </w:rPr>
        <w:t>人，占比</w:t>
      </w:r>
      <w:r>
        <w:rPr>
          <w:rFonts w:ascii="time" w:hAnsi="time" w:hint="eastAsia"/>
        </w:rPr>
        <w:t>11.31%</w:t>
      </w:r>
      <w:r>
        <w:rPr>
          <w:rFonts w:ascii="time" w:hAnsi="time" w:hint="eastAsia"/>
        </w:rPr>
        <w:t>）。</w:t>
      </w:r>
      <w:r>
        <w:rPr>
          <w:rFonts w:ascii="time" w:hAnsi="time"/>
        </w:rPr>
        <w:t>2019</w:t>
      </w:r>
      <w:r>
        <w:rPr>
          <w:rFonts w:ascii="time" w:hAnsi="time" w:hint="eastAsia"/>
        </w:rPr>
        <w:t>届本科毕业生到西部地区就业的人数为</w:t>
      </w:r>
      <w:r>
        <w:rPr>
          <w:rFonts w:ascii="time" w:hAnsi="time" w:hint="eastAsia"/>
        </w:rPr>
        <w:t>178</w:t>
      </w:r>
      <w:r>
        <w:rPr>
          <w:rFonts w:ascii="time" w:hAnsi="time" w:hint="eastAsia"/>
        </w:rPr>
        <w:t>人，占通过各种录用形式落实就业单位人数的</w:t>
      </w:r>
      <w:r>
        <w:rPr>
          <w:rFonts w:ascii="time" w:hAnsi="time" w:hint="eastAsia"/>
        </w:rPr>
        <w:t>6.76%</w:t>
      </w:r>
      <w:r>
        <w:rPr>
          <w:rFonts w:ascii="time" w:hAnsi="time" w:hint="eastAsia"/>
        </w:rPr>
        <w:t>。西部就业人数较多的主要有工商管理学院（</w:t>
      </w:r>
      <w:r>
        <w:rPr>
          <w:rFonts w:ascii="time" w:hAnsi="time" w:hint="eastAsia"/>
        </w:rPr>
        <w:t>2</w:t>
      </w:r>
      <w:r>
        <w:rPr>
          <w:rFonts w:ascii="time" w:hAnsi="time"/>
        </w:rPr>
        <w:t>4</w:t>
      </w:r>
      <w:r>
        <w:rPr>
          <w:rFonts w:ascii="time" w:hAnsi="time" w:hint="eastAsia"/>
        </w:rPr>
        <w:t>人，占比</w:t>
      </w:r>
      <w:r>
        <w:rPr>
          <w:rFonts w:ascii="time" w:hAnsi="time"/>
        </w:rPr>
        <w:t>13.48</w:t>
      </w:r>
      <w:r>
        <w:rPr>
          <w:rFonts w:ascii="time" w:hAnsi="time" w:hint="eastAsia"/>
        </w:rPr>
        <w:t>%</w:t>
      </w:r>
      <w:r>
        <w:rPr>
          <w:rFonts w:ascii="time" w:hAnsi="time" w:hint="eastAsia"/>
        </w:rPr>
        <w:t>）、财税与公共管理学院（</w:t>
      </w:r>
      <w:r>
        <w:rPr>
          <w:rFonts w:ascii="time" w:hAnsi="time" w:hint="eastAsia"/>
        </w:rPr>
        <w:t>24</w:t>
      </w:r>
      <w:r>
        <w:rPr>
          <w:rFonts w:ascii="time" w:hAnsi="time" w:hint="eastAsia"/>
        </w:rPr>
        <w:t>人，</w:t>
      </w:r>
      <w:r>
        <w:rPr>
          <w:rFonts w:ascii="time" w:hAnsi="time" w:hint="eastAsia"/>
        </w:rPr>
        <w:t>13.48%</w:t>
      </w:r>
      <w:r>
        <w:rPr>
          <w:rFonts w:ascii="time" w:hAnsi="time" w:hint="eastAsia"/>
        </w:rPr>
        <w:t>）和会计学院（</w:t>
      </w:r>
      <w:r>
        <w:rPr>
          <w:rFonts w:ascii="time" w:hAnsi="time"/>
        </w:rPr>
        <w:t>22</w:t>
      </w:r>
      <w:r>
        <w:rPr>
          <w:rFonts w:ascii="time" w:hAnsi="time" w:hint="eastAsia"/>
        </w:rPr>
        <w:t>人，</w:t>
      </w:r>
      <w:r>
        <w:rPr>
          <w:rFonts w:ascii="time" w:hAnsi="time"/>
        </w:rPr>
        <w:t>12.36</w:t>
      </w:r>
      <w:r>
        <w:rPr>
          <w:rFonts w:ascii="time" w:hAnsi="time" w:hint="eastAsia"/>
        </w:rPr>
        <w:t>%</w:t>
      </w:r>
      <w:r>
        <w:rPr>
          <w:rFonts w:ascii="time" w:hAnsi="time" w:hint="eastAsia"/>
        </w:rPr>
        <w:t>）。</w:t>
      </w:r>
    </w:p>
    <w:p w:rsidR="00603F28" w:rsidRDefault="00041260">
      <w:pPr>
        <w:ind w:firstLineChars="200" w:firstLine="422"/>
        <w:rPr>
          <w:rFonts w:ascii="time" w:hAnsi="time" w:hint="eastAsia"/>
        </w:rPr>
      </w:pPr>
      <w:r>
        <w:rPr>
          <w:rFonts w:ascii="time" w:hAnsi="time" w:hint="eastAsia"/>
          <w:b/>
        </w:rPr>
        <w:t>从服务本省、市经济发展来看，省内生源留赣就业比例高。</w:t>
      </w:r>
      <w:r>
        <w:rPr>
          <w:rFonts w:ascii="time" w:hAnsi="time" w:hint="eastAsia"/>
        </w:rPr>
        <w:t>学校依托学科优势、人才优势和智</w:t>
      </w:r>
      <w:r>
        <w:rPr>
          <w:rFonts w:ascii="time" w:hAnsi="time" w:hint="eastAsia"/>
        </w:rPr>
        <w:t>力优势，紧密联系江西经济社会发展实际，聚焦江西经济、社会和文化发展与建设重大现实问题，充分发挥学校在服务地方经济社会发展中的作用。调研数据显示，毕业生留赣就业人数较多，其中以省内生源为主，主要以金融业、制造业行业就业，电子信息产业、装备制造产业等优势重点产业就业服务于本省、市经济发展。</w:t>
      </w:r>
      <w:r>
        <w:rPr>
          <w:rFonts w:ascii="time" w:hAnsi="time" w:hint="eastAsia"/>
        </w:rPr>
        <w:t>2019</w:t>
      </w:r>
      <w:r>
        <w:rPr>
          <w:rFonts w:ascii="time" w:hAnsi="time" w:hint="eastAsia"/>
        </w:rPr>
        <w:t>届本科毕业生江西省内就业的省内生源人数为</w:t>
      </w:r>
      <w:r>
        <w:rPr>
          <w:rFonts w:ascii="time" w:hAnsi="time"/>
        </w:rPr>
        <w:t>713</w:t>
      </w:r>
      <w:r>
        <w:rPr>
          <w:rFonts w:ascii="time" w:hAnsi="time" w:hint="eastAsia"/>
        </w:rPr>
        <w:t>人，占比</w:t>
      </w:r>
      <w:r>
        <w:rPr>
          <w:rFonts w:ascii="time" w:hAnsi="time"/>
        </w:rPr>
        <w:t>27.07</w:t>
      </w:r>
      <w:r>
        <w:rPr>
          <w:rFonts w:ascii="time" w:hAnsi="time" w:hint="eastAsia"/>
        </w:rPr>
        <w:t>%</w:t>
      </w:r>
      <w:r>
        <w:rPr>
          <w:rFonts w:ascii="time" w:hAnsi="time" w:hint="eastAsia"/>
        </w:rPr>
        <w:t>。在省内就业的毕业生中，主要就业城市为南昌市，人数为</w:t>
      </w:r>
      <w:r>
        <w:rPr>
          <w:rFonts w:ascii="time" w:hAnsi="time" w:hint="eastAsia"/>
        </w:rPr>
        <w:t>480</w:t>
      </w:r>
      <w:r>
        <w:rPr>
          <w:rFonts w:ascii="time" w:hAnsi="time" w:hint="eastAsia"/>
        </w:rPr>
        <w:t>人，占省内就业人数的</w:t>
      </w:r>
      <w:r>
        <w:rPr>
          <w:rFonts w:ascii="time" w:hAnsi="time" w:hint="eastAsia"/>
        </w:rPr>
        <w:t>67.32%</w:t>
      </w:r>
      <w:r>
        <w:rPr>
          <w:rFonts w:ascii="time" w:hAnsi="time" w:hint="eastAsia"/>
        </w:rPr>
        <w:t>。毕业生省内就业行业主要为金融业（</w:t>
      </w:r>
      <w:r>
        <w:rPr>
          <w:rFonts w:ascii="time" w:hAnsi="time" w:hint="eastAsia"/>
        </w:rPr>
        <w:t>160</w:t>
      </w:r>
      <w:r>
        <w:rPr>
          <w:rFonts w:ascii="time" w:hAnsi="time" w:hint="eastAsia"/>
        </w:rPr>
        <w:t>人，占比</w:t>
      </w:r>
      <w:r>
        <w:rPr>
          <w:rFonts w:ascii="time" w:hAnsi="time" w:hint="eastAsia"/>
        </w:rPr>
        <w:t>22.44%</w:t>
      </w:r>
      <w:r>
        <w:rPr>
          <w:rFonts w:ascii="time" w:hAnsi="time" w:hint="eastAsia"/>
        </w:rPr>
        <w:t>）</w:t>
      </w:r>
      <w:r>
        <w:rPr>
          <w:rFonts w:ascii="time" w:hAnsi="time" w:hint="eastAsia"/>
        </w:rPr>
        <w:t>和制造业（</w:t>
      </w:r>
      <w:r>
        <w:rPr>
          <w:rFonts w:ascii="time" w:hAnsi="time" w:hint="eastAsia"/>
        </w:rPr>
        <w:t>84</w:t>
      </w:r>
      <w:r>
        <w:rPr>
          <w:rFonts w:ascii="time" w:hAnsi="time" w:hint="eastAsia"/>
        </w:rPr>
        <w:t>人，占比</w:t>
      </w:r>
      <w:r>
        <w:rPr>
          <w:rFonts w:ascii="time" w:hAnsi="time" w:hint="eastAsia"/>
        </w:rPr>
        <w:t>11.78%</w:t>
      </w:r>
      <w:r>
        <w:rPr>
          <w:rFonts w:ascii="time" w:hAnsi="time" w:hint="eastAsia"/>
        </w:rPr>
        <w:t>），省内就业优势重点产业主要为电子信息产业（</w:t>
      </w:r>
      <w:r>
        <w:rPr>
          <w:rFonts w:ascii="time" w:hAnsi="time" w:hint="eastAsia"/>
        </w:rPr>
        <w:t>87</w:t>
      </w:r>
      <w:r>
        <w:rPr>
          <w:rFonts w:ascii="time" w:hAnsi="time" w:hint="eastAsia"/>
        </w:rPr>
        <w:t>人，占比</w:t>
      </w:r>
      <w:r>
        <w:rPr>
          <w:rFonts w:ascii="time" w:hAnsi="time" w:hint="eastAsia"/>
        </w:rPr>
        <w:t>82.08%</w:t>
      </w:r>
      <w:r>
        <w:rPr>
          <w:rFonts w:ascii="time" w:hAnsi="time" w:hint="eastAsia"/>
        </w:rPr>
        <w:t>）和装备制造产业（</w:t>
      </w:r>
      <w:r>
        <w:rPr>
          <w:rFonts w:ascii="time" w:hAnsi="time" w:hint="eastAsia"/>
        </w:rPr>
        <w:t>11</w:t>
      </w:r>
      <w:r>
        <w:rPr>
          <w:rFonts w:ascii="time" w:hAnsi="time" w:hint="eastAsia"/>
        </w:rPr>
        <w:t>人，占比</w:t>
      </w:r>
      <w:r>
        <w:rPr>
          <w:rFonts w:ascii="time" w:hAnsi="time" w:hint="eastAsia"/>
        </w:rPr>
        <w:t>10.38%</w:t>
      </w:r>
      <w:r>
        <w:rPr>
          <w:rFonts w:ascii="time" w:hAnsi="time" w:hint="eastAsia"/>
        </w:rPr>
        <w:t>）。</w:t>
      </w:r>
    </w:p>
    <w:p w:rsidR="00603F28" w:rsidRDefault="00041260">
      <w:pPr>
        <w:ind w:firstLineChars="200" w:firstLine="420"/>
        <w:rPr>
          <w:rFonts w:ascii="time" w:hAnsi="time" w:hint="eastAsia"/>
        </w:rPr>
      </w:pPr>
      <w:r>
        <w:rPr>
          <w:rFonts w:ascii="time" w:hAnsi="time" w:hint="eastAsia"/>
        </w:rPr>
        <w:t>学校从“家”和“国”两个维度教育引导和号召学生“到祖国最需要的地方去”“回家乡做贡献”，鼓励毕业生将个人理想融入实现“中国梦”的伟大事业，服务于国家西部发展、国家创新驱动发展和乡村振兴战略，主动到国家战略所涉行业、领域、地区就业。</w:t>
      </w:r>
    </w:p>
    <w:p w:rsidR="00603F28" w:rsidRDefault="00041260">
      <w:pPr>
        <w:pStyle w:val="3"/>
        <w:rPr>
          <w:rFonts w:ascii="time" w:hAnsi="time" w:cstheme="majorBidi" w:hint="eastAsia"/>
          <w:color w:val="000000" w:themeColor="text1"/>
          <w:sz w:val="30"/>
        </w:rPr>
      </w:pPr>
      <w:bookmarkStart w:id="134" w:name="_Toc27642672"/>
      <w:r>
        <w:rPr>
          <w:rFonts w:ascii="time" w:hAnsi="time" w:cstheme="majorBidi" w:hint="eastAsia"/>
          <w:color w:val="000000" w:themeColor="text1"/>
          <w:sz w:val="30"/>
        </w:rPr>
        <w:t>三、教育教学：毕业生及用人单位满意度高，提升毕业生适应度</w:t>
      </w:r>
      <w:bookmarkEnd w:id="134"/>
    </w:p>
    <w:p w:rsidR="00603F28" w:rsidRDefault="00041260">
      <w:pPr>
        <w:pStyle w:val="3"/>
        <w:rPr>
          <w:rFonts w:ascii="time" w:hAnsi="time" w:hint="eastAsia"/>
        </w:rPr>
      </w:pPr>
      <w:bookmarkStart w:id="135" w:name="_Toc27642673"/>
      <w:r>
        <w:rPr>
          <w:rFonts w:ascii="time" w:hAnsi="time" w:hint="eastAsia"/>
        </w:rPr>
        <w:t>（一）毕业生母校满意度高，用人单位认可毕业生能力素质</w:t>
      </w:r>
      <w:bookmarkEnd w:id="135"/>
    </w:p>
    <w:p w:rsidR="00603F28" w:rsidRDefault="00041260">
      <w:pPr>
        <w:ind w:firstLineChars="200" w:firstLine="422"/>
        <w:rPr>
          <w:rFonts w:ascii="time" w:hAnsi="time" w:hint="eastAsia"/>
        </w:rPr>
      </w:pPr>
      <w:r>
        <w:rPr>
          <w:rFonts w:ascii="time" w:hAnsi="time" w:hint="eastAsia"/>
          <w:b/>
        </w:rPr>
        <w:t>毕业生总体满意度较高，教师教学满意度超</w:t>
      </w:r>
      <w:r>
        <w:rPr>
          <w:rFonts w:ascii="time" w:hAnsi="time" w:hint="eastAsia"/>
          <w:b/>
        </w:rPr>
        <w:t>95</w:t>
      </w:r>
      <w:r>
        <w:rPr>
          <w:rFonts w:ascii="time" w:hAnsi="time"/>
          <w:b/>
        </w:rPr>
        <w:t>%</w:t>
      </w:r>
      <w:r>
        <w:rPr>
          <w:rFonts w:ascii="time" w:hAnsi="time"/>
          <w:b/>
        </w:rPr>
        <w:t>。</w:t>
      </w:r>
      <w:r>
        <w:rPr>
          <w:rFonts w:ascii="time" w:hAnsi="time" w:cs="宋体" w:hint="eastAsia"/>
        </w:rPr>
        <w:t>2</w:t>
      </w:r>
      <w:r>
        <w:rPr>
          <w:rFonts w:ascii="time" w:hAnsi="time" w:cs="宋体"/>
        </w:rPr>
        <w:t>0</w:t>
      </w:r>
      <w:r>
        <w:rPr>
          <w:rFonts w:ascii="time" w:hAnsi="time" w:cs="宋体" w:hint="eastAsia"/>
        </w:rPr>
        <w:t>19</w:t>
      </w:r>
      <w:r>
        <w:rPr>
          <w:rFonts w:ascii="time" w:hAnsi="time" w:cs="宋体" w:hint="eastAsia"/>
        </w:rPr>
        <w:t>届本科毕业生对母校的总体满意度为</w:t>
      </w:r>
      <w:r>
        <w:rPr>
          <w:rFonts w:ascii="time" w:hAnsi="time" w:cs="宋体"/>
        </w:rPr>
        <w:t>96.17</w:t>
      </w:r>
      <w:r>
        <w:rPr>
          <w:rFonts w:ascii="time" w:hAnsi="time" w:cs="宋体" w:hint="eastAsia"/>
        </w:rPr>
        <w:t>%</w:t>
      </w:r>
      <w:r>
        <w:rPr>
          <w:rFonts w:ascii="time" w:hAnsi="time" w:cs="宋体" w:hint="eastAsia"/>
        </w:rPr>
        <w:t>，</w:t>
      </w:r>
      <w:r>
        <w:rPr>
          <w:rFonts w:ascii="time" w:hAnsi="time" w:hint="eastAsia"/>
        </w:rPr>
        <w:t>各专业类别毕业生对母校总体满意度均在</w:t>
      </w:r>
      <w:r>
        <w:rPr>
          <w:rFonts w:ascii="time" w:hAnsi="time" w:hint="eastAsia"/>
        </w:rPr>
        <w:t>90%</w:t>
      </w:r>
      <w:r>
        <w:rPr>
          <w:rFonts w:ascii="time" w:hAnsi="time" w:hint="eastAsia"/>
        </w:rPr>
        <w:t>以上。</w:t>
      </w:r>
      <w:r>
        <w:rPr>
          <w:rFonts w:ascii="time" w:hAnsi="time" w:hint="eastAsia"/>
          <w:b/>
        </w:rPr>
        <w:t>人才培养方面</w:t>
      </w:r>
      <w:r>
        <w:rPr>
          <w:rFonts w:ascii="time" w:hAnsi="time" w:hint="eastAsia"/>
        </w:rPr>
        <w:t>，毕业生对母校人才培养的满意度为</w:t>
      </w:r>
      <w:r>
        <w:rPr>
          <w:rFonts w:ascii="time" w:hAnsi="time" w:hint="eastAsia"/>
        </w:rPr>
        <w:t>92.</w:t>
      </w:r>
      <w:r>
        <w:rPr>
          <w:rFonts w:ascii="time" w:hAnsi="time"/>
        </w:rPr>
        <w:t>34</w:t>
      </w:r>
      <w:r>
        <w:rPr>
          <w:rFonts w:ascii="time" w:hAnsi="time" w:hint="eastAsia"/>
        </w:rPr>
        <w:t>%</w:t>
      </w:r>
      <w:r>
        <w:rPr>
          <w:rFonts w:ascii="time" w:hAnsi="time" w:hint="eastAsia"/>
        </w:rPr>
        <w:t>，</w:t>
      </w:r>
      <w:r>
        <w:rPr>
          <w:rFonts w:ascii="time" w:hAnsi="time"/>
        </w:rPr>
        <w:t>19</w:t>
      </w:r>
      <w:r>
        <w:rPr>
          <w:rFonts w:ascii="time" w:hAnsi="time" w:hint="eastAsia"/>
        </w:rPr>
        <w:t>个专业类别的人才培养满意度在</w:t>
      </w:r>
      <w:r>
        <w:rPr>
          <w:rFonts w:ascii="time" w:hAnsi="time" w:hint="eastAsia"/>
        </w:rPr>
        <w:t>90%</w:t>
      </w:r>
      <w:r>
        <w:rPr>
          <w:rFonts w:ascii="time" w:hAnsi="time" w:hint="eastAsia"/>
        </w:rPr>
        <w:t>以上，其中金融学类和会计学类专业对母校人才培养满意度分别为</w:t>
      </w:r>
      <w:r>
        <w:rPr>
          <w:rFonts w:ascii="time" w:hAnsi="time" w:hint="eastAsia"/>
        </w:rPr>
        <w:t>92.26%</w:t>
      </w:r>
      <w:r>
        <w:rPr>
          <w:rFonts w:ascii="time" w:hAnsi="time" w:hint="eastAsia"/>
        </w:rPr>
        <w:t>和</w:t>
      </w:r>
      <w:r>
        <w:rPr>
          <w:rFonts w:ascii="time" w:hAnsi="time" w:hint="eastAsia"/>
        </w:rPr>
        <w:t>93.06%</w:t>
      </w:r>
      <w:r>
        <w:rPr>
          <w:rFonts w:ascii="time" w:hAnsi="time" w:hint="eastAsia"/>
        </w:rPr>
        <w:t>；</w:t>
      </w:r>
      <w:r>
        <w:rPr>
          <w:rFonts w:ascii="time" w:hAnsi="time" w:hint="eastAsia"/>
          <w:b/>
        </w:rPr>
        <w:t>教师教学方面</w:t>
      </w:r>
      <w:r>
        <w:rPr>
          <w:rFonts w:ascii="time" w:hAnsi="time" w:hint="eastAsia"/>
        </w:rPr>
        <w:t>，毕业生对母校教师教学满意度为</w:t>
      </w:r>
      <w:r>
        <w:rPr>
          <w:rFonts w:ascii="time" w:hAnsi="time" w:hint="eastAsia"/>
        </w:rPr>
        <w:t>95.43%</w:t>
      </w:r>
      <w:r>
        <w:rPr>
          <w:rFonts w:ascii="time" w:hAnsi="time" w:hint="eastAsia"/>
        </w:rPr>
        <w:t>，各专业类别的满意度均在</w:t>
      </w:r>
      <w:r>
        <w:rPr>
          <w:rFonts w:ascii="time" w:hAnsi="time" w:hint="eastAsia"/>
        </w:rPr>
        <w:t>90%</w:t>
      </w:r>
      <w:r>
        <w:rPr>
          <w:rFonts w:ascii="time" w:hAnsi="time" w:hint="eastAsia"/>
        </w:rPr>
        <w:t>以上，其中金融学类和会计学类的教师教学满意度</w:t>
      </w:r>
      <w:r>
        <w:rPr>
          <w:rFonts w:ascii="time" w:hAnsi="time" w:hint="eastAsia"/>
        </w:rPr>
        <w:t>分别为</w:t>
      </w:r>
      <w:r>
        <w:rPr>
          <w:rFonts w:ascii="time" w:hAnsi="time" w:hint="eastAsia"/>
        </w:rPr>
        <w:t>92.67%</w:t>
      </w:r>
      <w:r>
        <w:rPr>
          <w:rFonts w:ascii="time" w:hAnsi="time" w:hint="eastAsia"/>
        </w:rPr>
        <w:t>和</w:t>
      </w:r>
      <w:r>
        <w:rPr>
          <w:rFonts w:ascii="time" w:hAnsi="time" w:hint="eastAsia"/>
        </w:rPr>
        <w:t>94.91%</w:t>
      </w:r>
      <w:r>
        <w:rPr>
          <w:rFonts w:ascii="time" w:hAnsi="time" w:hint="eastAsia"/>
        </w:rPr>
        <w:t>；</w:t>
      </w:r>
      <w:r>
        <w:rPr>
          <w:rFonts w:ascii="time" w:hAnsi="time" w:hint="eastAsia"/>
          <w:b/>
        </w:rPr>
        <w:t>专业课程设置方面</w:t>
      </w:r>
      <w:r>
        <w:rPr>
          <w:rFonts w:ascii="time" w:hAnsi="time" w:hint="eastAsia"/>
        </w:rPr>
        <w:t>，毕业生对专业课程设置的满意度为</w:t>
      </w:r>
      <w:r>
        <w:rPr>
          <w:rFonts w:ascii="time" w:hAnsi="time" w:hint="eastAsia"/>
        </w:rPr>
        <w:t>9</w:t>
      </w:r>
      <w:r>
        <w:rPr>
          <w:rFonts w:ascii="time" w:hAnsi="time"/>
        </w:rPr>
        <w:t>0.84</w:t>
      </w:r>
      <w:r>
        <w:rPr>
          <w:rFonts w:ascii="time" w:hAnsi="time" w:hint="eastAsia"/>
        </w:rPr>
        <w:t>%</w:t>
      </w:r>
      <w:r>
        <w:rPr>
          <w:rFonts w:ascii="time" w:hAnsi="time" w:hint="eastAsia"/>
        </w:rPr>
        <w:t>，</w:t>
      </w:r>
      <w:r>
        <w:rPr>
          <w:rFonts w:ascii="time" w:hAnsi="time"/>
        </w:rPr>
        <w:t>14</w:t>
      </w:r>
      <w:r>
        <w:rPr>
          <w:rFonts w:ascii="time" w:hAnsi="time" w:hint="eastAsia"/>
        </w:rPr>
        <w:t>个专业类别的满意度在</w:t>
      </w:r>
      <w:r>
        <w:rPr>
          <w:rFonts w:ascii="time" w:hAnsi="time" w:hint="eastAsia"/>
        </w:rPr>
        <w:t>90%</w:t>
      </w:r>
      <w:r>
        <w:rPr>
          <w:rFonts w:ascii="time" w:hAnsi="time" w:hint="eastAsia"/>
        </w:rPr>
        <w:t>以上。</w:t>
      </w:r>
      <w:r>
        <w:rPr>
          <w:rFonts w:ascii="time" w:hAnsi="time" w:hint="eastAsia"/>
        </w:rPr>
        <w:t>8</w:t>
      </w:r>
      <w:r>
        <w:rPr>
          <w:rFonts w:ascii="time" w:hAnsi="time"/>
        </w:rPr>
        <w:t>6.18</w:t>
      </w:r>
      <w:r>
        <w:rPr>
          <w:rFonts w:ascii="time" w:hAnsi="time" w:hint="eastAsia"/>
        </w:rPr>
        <w:t>%</w:t>
      </w:r>
      <w:r>
        <w:rPr>
          <w:rFonts w:ascii="time" w:hAnsi="time" w:hint="eastAsia"/>
        </w:rPr>
        <w:t>的毕业生认为专业核心课程对自身就业有重要的帮助作用，金融学类和会计学类毕业生中，分别有</w:t>
      </w:r>
      <w:r>
        <w:rPr>
          <w:rFonts w:ascii="time" w:hAnsi="time" w:hint="eastAsia"/>
        </w:rPr>
        <w:t>82.08%</w:t>
      </w:r>
      <w:r>
        <w:rPr>
          <w:rFonts w:ascii="time" w:hAnsi="time" w:hint="eastAsia"/>
        </w:rPr>
        <w:t>和</w:t>
      </w:r>
      <w:r>
        <w:rPr>
          <w:rFonts w:ascii="time" w:hAnsi="time" w:hint="eastAsia"/>
        </w:rPr>
        <w:t>92.82%</w:t>
      </w:r>
      <w:r>
        <w:rPr>
          <w:rFonts w:ascii="time" w:hAnsi="time" w:hint="eastAsia"/>
        </w:rPr>
        <w:t>的毕业生认为专业知识对职业的适用度较高。毕业生掌握程度和就业帮助程度最高的课程主要为专业类课程，创业、职业类课程较薄弱；</w:t>
      </w:r>
      <w:r>
        <w:rPr>
          <w:rFonts w:ascii="time" w:hAnsi="time" w:hint="eastAsia"/>
          <w:b/>
        </w:rPr>
        <w:t>实践教学方面</w:t>
      </w:r>
      <w:r>
        <w:rPr>
          <w:rFonts w:ascii="time" w:hAnsi="time" w:hint="eastAsia"/>
        </w:rPr>
        <w:t>，毕业生对实践教学及其基础设施的满意度分别为为</w:t>
      </w:r>
      <w:r>
        <w:rPr>
          <w:rFonts w:ascii="time" w:hAnsi="time"/>
        </w:rPr>
        <w:t>82.30</w:t>
      </w:r>
      <w:r>
        <w:rPr>
          <w:rFonts w:ascii="time" w:hAnsi="time" w:hint="eastAsia"/>
        </w:rPr>
        <w:t>%</w:t>
      </w:r>
      <w:r>
        <w:rPr>
          <w:rFonts w:ascii="time" w:hAnsi="time" w:hint="eastAsia"/>
        </w:rPr>
        <w:t>和</w:t>
      </w:r>
      <w:r>
        <w:rPr>
          <w:rFonts w:ascii="time" w:hAnsi="time" w:hint="eastAsia"/>
        </w:rPr>
        <w:t>85.71%</w:t>
      </w:r>
      <w:r>
        <w:rPr>
          <w:rFonts w:ascii="time" w:hAnsi="time" w:hint="eastAsia"/>
        </w:rPr>
        <w:t>，各专业类别毕业生对实践教学及其基础设施的平均分分别</w:t>
      </w:r>
      <w:r>
        <w:rPr>
          <w:rFonts w:ascii="time" w:hAnsi="time" w:hint="eastAsia"/>
        </w:rPr>
        <w:t>为</w:t>
      </w:r>
      <w:r>
        <w:rPr>
          <w:rFonts w:ascii="time" w:hAnsi="time" w:hint="eastAsia"/>
        </w:rPr>
        <w:t>3.39</w:t>
      </w:r>
      <w:r>
        <w:rPr>
          <w:rFonts w:ascii="time" w:hAnsi="time" w:hint="eastAsia"/>
        </w:rPr>
        <w:t>分和</w:t>
      </w:r>
      <w:r>
        <w:rPr>
          <w:rFonts w:ascii="time" w:hAnsi="time" w:hint="eastAsia"/>
        </w:rPr>
        <w:t>3.48</w:t>
      </w:r>
      <w:r>
        <w:rPr>
          <w:rFonts w:ascii="time" w:hAnsi="time" w:hint="eastAsia"/>
        </w:rPr>
        <w:t>分；</w:t>
      </w:r>
      <w:r>
        <w:rPr>
          <w:rFonts w:ascii="time" w:hAnsi="time" w:hint="eastAsia"/>
          <w:b/>
        </w:rPr>
        <w:t>就业管理和就业指导服务方面</w:t>
      </w:r>
      <w:r>
        <w:rPr>
          <w:rFonts w:ascii="time" w:hAnsi="time" w:hint="eastAsia"/>
        </w:rPr>
        <w:t>，毕业生对母校就业管理和就业指导服务的总体满意度为</w:t>
      </w:r>
      <w:r>
        <w:rPr>
          <w:rFonts w:ascii="time" w:hAnsi="time" w:hint="eastAsia"/>
        </w:rPr>
        <w:t>89.</w:t>
      </w:r>
      <w:r>
        <w:rPr>
          <w:rFonts w:ascii="time" w:hAnsi="time"/>
        </w:rPr>
        <w:t>79</w:t>
      </w:r>
      <w:r>
        <w:rPr>
          <w:rFonts w:ascii="time" w:hAnsi="time" w:hint="eastAsia"/>
        </w:rPr>
        <w:t>%</w:t>
      </w:r>
      <w:r>
        <w:rPr>
          <w:rFonts w:ascii="time" w:hAnsi="time" w:hint="eastAsia"/>
        </w:rPr>
        <w:t>，</w:t>
      </w:r>
      <w:r>
        <w:rPr>
          <w:rFonts w:ascii="time" w:hAnsi="time" w:hint="eastAsia"/>
        </w:rPr>
        <w:t>13</w:t>
      </w:r>
      <w:r>
        <w:rPr>
          <w:rFonts w:ascii="time" w:hAnsi="time" w:hint="eastAsia"/>
        </w:rPr>
        <w:t>个专业类别的满意度在</w:t>
      </w:r>
      <w:r>
        <w:rPr>
          <w:rFonts w:ascii="time" w:hAnsi="time" w:hint="eastAsia"/>
        </w:rPr>
        <w:t>90%</w:t>
      </w:r>
      <w:r>
        <w:rPr>
          <w:rFonts w:ascii="time" w:hAnsi="time" w:hint="eastAsia"/>
        </w:rPr>
        <w:t>以上，其中金融学类和会计学类专业毕业生的就业管理和就业指导服务的满意度分别为</w:t>
      </w:r>
      <w:r>
        <w:rPr>
          <w:rFonts w:ascii="time" w:hAnsi="time" w:hint="eastAsia"/>
        </w:rPr>
        <w:t>90.22%</w:t>
      </w:r>
      <w:r>
        <w:rPr>
          <w:rFonts w:ascii="time" w:hAnsi="time" w:hint="eastAsia"/>
        </w:rPr>
        <w:t>和</w:t>
      </w:r>
      <w:r>
        <w:rPr>
          <w:rFonts w:ascii="time" w:hAnsi="time" w:hint="eastAsia"/>
        </w:rPr>
        <w:t>88.19%</w:t>
      </w:r>
      <w:r>
        <w:rPr>
          <w:rFonts w:ascii="time" w:hAnsi="time" w:hint="eastAsia"/>
        </w:rPr>
        <w:t>。</w:t>
      </w:r>
    </w:p>
    <w:p w:rsidR="00603F28" w:rsidRDefault="00041260">
      <w:pPr>
        <w:ind w:firstLineChars="200" w:firstLine="422"/>
        <w:rPr>
          <w:rFonts w:ascii="time" w:hAnsi="time" w:hint="eastAsia"/>
          <w:color w:val="000000" w:themeColor="text1"/>
        </w:rPr>
      </w:pPr>
      <w:r>
        <w:rPr>
          <w:rFonts w:ascii="time" w:hAnsi="time" w:hint="eastAsia"/>
          <w:b/>
        </w:rPr>
        <w:t>用人单位认可毕业生能力，用人单位对毕业生的满意度高达</w:t>
      </w:r>
      <w:r>
        <w:rPr>
          <w:rFonts w:ascii="time" w:hAnsi="time" w:hint="eastAsia"/>
          <w:b/>
        </w:rPr>
        <w:t>100%</w:t>
      </w:r>
      <w:r>
        <w:rPr>
          <w:rFonts w:ascii="time" w:hAnsi="time" w:hint="eastAsia"/>
          <w:b/>
        </w:rPr>
        <w:t>。</w:t>
      </w:r>
      <w:r>
        <w:rPr>
          <w:rFonts w:ascii="time" w:hAnsi="time" w:hint="eastAsia"/>
          <w:b/>
        </w:rPr>
        <w:t>2</w:t>
      </w:r>
      <w:r>
        <w:rPr>
          <w:rFonts w:ascii="time" w:hAnsi="time" w:hint="eastAsia"/>
        </w:rPr>
        <w:t>019</w:t>
      </w:r>
      <w:r>
        <w:rPr>
          <w:rFonts w:ascii="time" w:hAnsi="time" w:hint="eastAsia"/>
        </w:rPr>
        <w:t>届本科毕业生用人单位对毕业生的满意度高达</w:t>
      </w:r>
      <w:r>
        <w:rPr>
          <w:rFonts w:ascii="time" w:hAnsi="time" w:hint="eastAsia"/>
        </w:rPr>
        <w:t>100%</w:t>
      </w:r>
      <w:r>
        <w:rPr>
          <w:rFonts w:ascii="time" w:hAnsi="time" w:hint="eastAsia"/>
        </w:rPr>
        <w:t>，表达对毕业生能力素质的高度认可。</w:t>
      </w:r>
      <w:r>
        <w:rPr>
          <w:rFonts w:ascii="time" w:hAnsi="time" w:hint="eastAsia"/>
          <w:color w:val="000000" w:themeColor="text1"/>
        </w:rPr>
        <w:t>用人单位对毕业生工作能力认同度最高的是“专业技术能力”（</w:t>
      </w:r>
      <w:r>
        <w:rPr>
          <w:rFonts w:ascii="time" w:hAnsi="time" w:hint="eastAsia"/>
          <w:color w:val="000000" w:themeColor="text1"/>
        </w:rPr>
        <w:t>4.54</w:t>
      </w:r>
      <w:r>
        <w:rPr>
          <w:rFonts w:ascii="time" w:hAnsi="time" w:hint="eastAsia"/>
          <w:color w:val="000000" w:themeColor="text1"/>
        </w:rPr>
        <w:t>分），对毕业生个人素质认同度最高的是“待人真诚”（</w:t>
      </w:r>
      <w:r>
        <w:rPr>
          <w:rFonts w:ascii="time" w:hAnsi="time" w:hint="eastAsia"/>
          <w:color w:val="000000" w:themeColor="text1"/>
        </w:rPr>
        <w:t>4.</w:t>
      </w:r>
      <w:r>
        <w:rPr>
          <w:rFonts w:ascii="time" w:hAnsi="time"/>
          <w:color w:val="000000" w:themeColor="text1"/>
        </w:rPr>
        <w:t>59</w:t>
      </w:r>
      <w:r>
        <w:rPr>
          <w:rFonts w:ascii="time" w:hAnsi="time" w:hint="eastAsia"/>
          <w:color w:val="000000" w:themeColor="text1"/>
        </w:rPr>
        <w:t>分）。用人单位对学校人才培养的满意度为</w:t>
      </w:r>
      <w:r>
        <w:rPr>
          <w:rFonts w:ascii="time" w:hAnsi="time"/>
        </w:rPr>
        <w:t>100</w:t>
      </w:r>
      <w:r>
        <w:rPr>
          <w:rFonts w:ascii="time" w:hAnsi="time" w:hint="eastAsia"/>
        </w:rPr>
        <w:t>%</w:t>
      </w:r>
      <w:r>
        <w:rPr>
          <w:rFonts w:ascii="time" w:hAnsi="time" w:hint="eastAsia"/>
        </w:rPr>
        <w:t>，</w:t>
      </w:r>
      <w:r>
        <w:rPr>
          <w:rFonts w:ascii="time" w:hAnsi="time" w:hint="eastAsia"/>
          <w:color w:val="000000" w:themeColor="text1"/>
        </w:rPr>
        <w:t>对学校就业服务的满意度为</w:t>
      </w:r>
      <w:r>
        <w:rPr>
          <w:rFonts w:ascii="time" w:hAnsi="time" w:hint="eastAsia"/>
          <w:color w:val="000000" w:themeColor="text1"/>
        </w:rPr>
        <w:t>99.</w:t>
      </w:r>
      <w:r>
        <w:rPr>
          <w:rFonts w:ascii="time" w:hAnsi="time"/>
          <w:color w:val="000000" w:themeColor="text1"/>
        </w:rPr>
        <w:t>58</w:t>
      </w:r>
      <w:r>
        <w:rPr>
          <w:rFonts w:ascii="time" w:hAnsi="time" w:hint="eastAsia"/>
          <w:color w:val="000000" w:themeColor="text1"/>
        </w:rPr>
        <w:t>%</w:t>
      </w:r>
      <w:r>
        <w:rPr>
          <w:rFonts w:ascii="time" w:hAnsi="time" w:hint="eastAsia"/>
          <w:color w:val="000000" w:themeColor="text1"/>
        </w:rPr>
        <w:t>，用人单位对学校人才培养质量和就业服务工作高度认可。</w:t>
      </w:r>
    </w:p>
    <w:p w:rsidR="00603F28" w:rsidRDefault="00041260">
      <w:pPr>
        <w:pStyle w:val="3"/>
        <w:rPr>
          <w:rFonts w:ascii="time" w:hAnsi="time" w:hint="eastAsia"/>
        </w:rPr>
      </w:pPr>
      <w:bookmarkStart w:id="136" w:name="_Toc27642674"/>
      <w:r>
        <w:rPr>
          <w:rFonts w:ascii="time" w:hAnsi="time" w:hint="eastAsia"/>
        </w:rPr>
        <w:t>（二）优化教育教学结构，提升毕业生就业适应度</w:t>
      </w:r>
      <w:bookmarkEnd w:id="136"/>
    </w:p>
    <w:p w:rsidR="00603F28" w:rsidRDefault="00041260">
      <w:pPr>
        <w:ind w:firstLineChars="200" w:firstLine="422"/>
        <w:rPr>
          <w:rFonts w:ascii="time" w:hAnsi="time" w:hint="eastAsia"/>
        </w:rPr>
      </w:pPr>
      <w:r>
        <w:rPr>
          <w:rFonts w:ascii="time" w:hAnsi="time" w:hint="eastAsia"/>
          <w:b/>
        </w:rPr>
        <w:t>毕业生母校满意度的主要影响因素是“学有所用”，强化教育教学“实践性”和“实用性”势在必行。</w:t>
      </w:r>
      <w:r>
        <w:rPr>
          <w:rFonts w:ascii="time" w:hAnsi="time" w:hint="eastAsia"/>
        </w:rPr>
        <w:t>调研数据显示，</w:t>
      </w:r>
      <w:r>
        <w:rPr>
          <w:rFonts w:ascii="time" w:hAnsi="time" w:hint="eastAsia"/>
        </w:rPr>
        <w:t>2019</w:t>
      </w:r>
      <w:r>
        <w:rPr>
          <w:rFonts w:ascii="time" w:hAnsi="time" w:hint="eastAsia"/>
        </w:rPr>
        <w:t>届本科毕业生认为影响对母校满意度的主要因素是“所学知识</w:t>
      </w:r>
      <w:r>
        <w:rPr>
          <w:rFonts w:ascii="time" w:hAnsi="time" w:hint="eastAsia"/>
        </w:rPr>
        <w:t>/</w:t>
      </w:r>
      <w:r>
        <w:rPr>
          <w:rFonts w:ascii="time" w:hAnsi="time" w:hint="eastAsia"/>
        </w:rPr>
        <w:t>能力满足工作实际需求的情况”（</w:t>
      </w:r>
      <w:r>
        <w:rPr>
          <w:rFonts w:ascii="time" w:hAnsi="time" w:hint="eastAsia"/>
        </w:rPr>
        <w:t>19.0</w:t>
      </w:r>
      <w:r>
        <w:rPr>
          <w:rFonts w:ascii="time" w:hAnsi="time" w:hint="eastAsia"/>
        </w:rPr>
        <w:t>4%</w:t>
      </w:r>
      <w:r>
        <w:rPr>
          <w:rFonts w:ascii="time" w:hAnsi="time" w:hint="eastAsia"/>
        </w:rPr>
        <w:t>）。</w:t>
      </w:r>
      <w:r>
        <w:rPr>
          <w:rFonts w:ascii="time" w:hAnsi="time" w:hint="eastAsia"/>
          <w:b/>
        </w:rPr>
        <w:t>人才培养方面</w:t>
      </w:r>
      <w:r>
        <w:rPr>
          <w:rFonts w:ascii="time" w:hAnsi="time" w:hint="eastAsia"/>
        </w:rPr>
        <w:t>，毕业生的建议主要集中在“加强社会实践课程比重”（</w:t>
      </w:r>
      <w:r>
        <w:rPr>
          <w:rFonts w:ascii="time" w:hAnsi="time" w:hint="eastAsia"/>
        </w:rPr>
        <w:t>17.26%</w:t>
      </w:r>
      <w:r>
        <w:rPr>
          <w:rFonts w:ascii="time" w:hAnsi="time" w:hint="eastAsia"/>
        </w:rPr>
        <w:t>）、“增加与社会各界互动交流的机会”（</w:t>
      </w:r>
      <w:r>
        <w:rPr>
          <w:rFonts w:ascii="time" w:hAnsi="time" w:hint="eastAsia"/>
        </w:rPr>
        <w:t>16.36%</w:t>
      </w:r>
      <w:r>
        <w:rPr>
          <w:rFonts w:ascii="time" w:hAnsi="time" w:hint="eastAsia"/>
        </w:rPr>
        <w:t>）和“提供到政府、企业、社会组织等学习实践机会”（</w:t>
      </w:r>
      <w:r>
        <w:rPr>
          <w:rFonts w:ascii="time" w:hAnsi="time" w:hint="eastAsia"/>
        </w:rPr>
        <w:t>13.86%</w:t>
      </w:r>
      <w:r>
        <w:rPr>
          <w:rFonts w:ascii="time" w:hAnsi="time" w:hint="eastAsia"/>
        </w:rPr>
        <w:t>）等；</w:t>
      </w:r>
      <w:r>
        <w:rPr>
          <w:rFonts w:ascii="time" w:hAnsi="time" w:hint="eastAsia"/>
          <w:b/>
        </w:rPr>
        <w:t>专业及课程设置方面</w:t>
      </w:r>
      <w:r>
        <w:rPr>
          <w:rFonts w:ascii="time" w:hAnsi="time" w:hint="eastAsia"/>
        </w:rPr>
        <w:t>，毕业生的建议主要有“本专业课程的实用性”（</w:t>
      </w:r>
      <w:r>
        <w:rPr>
          <w:rFonts w:ascii="time" w:hAnsi="time"/>
        </w:rPr>
        <w:t>2</w:t>
      </w:r>
      <w:r>
        <w:rPr>
          <w:rFonts w:ascii="time" w:hAnsi="time" w:hint="eastAsia"/>
        </w:rPr>
        <w:t>7.</w:t>
      </w:r>
      <w:r>
        <w:rPr>
          <w:rFonts w:ascii="time" w:hAnsi="time"/>
        </w:rPr>
        <w:t>5</w:t>
      </w:r>
      <w:r>
        <w:rPr>
          <w:rFonts w:ascii="time" w:hAnsi="time" w:hint="eastAsia"/>
        </w:rPr>
        <w:t>6%</w:t>
      </w:r>
      <w:r>
        <w:rPr>
          <w:rFonts w:ascii="time" w:hAnsi="time" w:hint="eastAsia"/>
        </w:rPr>
        <w:t>）和“实践课程安排次数”（</w:t>
      </w:r>
      <w:r>
        <w:rPr>
          <w:rFonts w:ascii="time" w:hAnsi="time"/>
        </w:rPr>
        <w:t>20.01</w:t>
      </w:r>
      <w:r>
        <w:rPr>
          <w:rFonts w:ascii="time" w:hAnsi="time" w:hint="eastAsia"/>
        </w:rPr>
        <w:t>%</w:t>
      </w:r>
      <w:r>
        <w:rPr>
          <w:rFonts w:ascii="time" w:hAnsi="time" w:hint="eastAsia"/>
        </w:rPr>
        <w:t>）；</w:t>
      </w:r>
      <w:r>
        <w:rPr>
          <w:rFonts w:ascii="time" w:hAnsi="time" w:hint="eastAsia"/>
          <w:b/>
        </w:rPr>
        <w:t>教师教学方面</w:t>
      </w:r>
      <w:r>
        <w:rPr>
          <w:rFonts w:ascii="time" w:hAnsi="time" w:hint="eastAsia"/>
        </w:rPr>
        <w:t>，毕业生的建议主要为“实践教学”（</w:t>
      </w:r>
      <w:r>
        <w:rPr>
          <w:rFonts w:ascii="time" w:hAnsi="time"/>
        </w:rPr>
        <w:t>18.92</w:t>
      </w:r>
      <w:r>
        <w:rPr>
          <w:rFonts w:ascii="time" w:hAnsi="time" w:hint="eastAsia"/>
        </w:rPr>
        <w:t>%</w:t>
      </w:r>
      <w:r>
        <w:rPr>
          <w:rFonts w:ascii="time" w:hAnsi="time" w:hint="eastAsia"/>
        </w:rPr>
        <w:t>）、“教学方法和手段”（</w:t>
      </w:r>
      <w:r>
        <w:rPr>
          <w:rFonts w:ascii="time" w:hAnsi="time"/>
        </w:rPr>
        <w:t>17.35</w:t>
      </w:r>
      <w:r>
        <w:rPr>
          <w:rFonts w:ascii="time" w:hAnsi="time" w:hint="eastAsia"/>
        </w:rPr>
        <w:t>%</w:t>
      </w:r>
      <w:r>
        <w:rPr>
          <w:rFonts w:ascii="time" w:hAnsi="time" w:hint="eastAsia"/>
        </w:rPr>
        <w:t>）和“专业课内容及安排”（</w:t>
      </w:r>
      <w:r>
        <w:rPr>
          <w:rFonts w:ascii="time" w:hAnsi="time"/>
        </w:rPr>
        <w:t>17.07</w:t>
      </w:r>
      <w:r>
        <w:rPr>
          <w:rFonts w:ascii="time" w:hAnsi="time" w:hint="eastAsia"/>
        </w:rPr>
        <w:t>%</w:t>
      </w:r>
      <w:r>
        <w:rPr>
          <w:rFonts w:ascii="time" w:hAnsi="time" w:hint="eastAsia"/>
        </w:rPr>
        <w:t>）；</w:t>
      </w:r>
      <w:r>
        <w:rPr>
          <w:rFonts w:ascii="time" w:hAnsi="time" w:hint="eastAsia"/>
          <w:b/>
        </w:rPr>
        <w:t>实践教学方面</w:t>
      </w:r>
      <w:r>
        <w:rPr>
          <w:rFonts w:ascii="time" w:hAnsi="time" w:hint="eastAsia"/>
        </w:rPr>
        <w:t>，毕业生的建议主要为加强“专业实习、见习”（</w:t>
      </w:r>
      <w:r>
        <w:rPr>
          <w:rFonts w:ascii="time" w:hAnsi="time" w:hint="eastAsia"/>
        </w:rPr>
        <w:t>27</w:t>
      </w:r>
      <w:r>
        <w:rPr>
          <w:rFonts w:ascii="time" w:hAnsi="time" w:hint="eastAsia"/>
        </w:rPr>
        <w:t>.13%</w:t>
      </w:r>
      <w:r>
        <w:rPr>
          <w:rFonts w:ascii="time" w:hAnsi="time" w:hint="eastAsia"/>
        </w:rPr>
        <w:t>）和“课程的实践性教学（课程作业、实验）”（</w:t>
      </w:r>
      <w:r>
        <w:rPr>
          <w:rFonts w:ascii="time" w:hAnsi="time" w:hint="eastAsia"/>
        </w:rPr>
        <w:t>26.07%</w:t>
      </w:r>
      <w:r>
        <w:rPr>
          <w:rFonts w:ascii="time" w:hAnsi="time" w:hint="eastAsia"/>
        </w:rPr>
        <w:t>）；</w:t>
      </w:r>
      <w:r>
        <w:rPr>
          <w:rFonts w:ascii="time" w:hAnsi="time" w:hint="eastAsia"/>
          <w:b/>
        </w:rPr>
        <w:t>“校企合作”为用人单位普遍诉求，毕业生实践能力仍需强化。</w:t>
      </w:r>
      <w:r>
        <w:rPr>
          <w:rFonts w:ascii="time" w:hAnsi="time" w:hint="eastAsia"/>
          <w:color w:val="000000" w:themeColor="text1"/>
        </w:rPr>
        <w:t>用人单位认为学校在人才培养方面亟待改进的地方主要有“加强校企合作”（</w:t>
      </w:r>
      <w:r>
        <w:rPr>
          <w:rFonts w:ascii="time" w:hAnsi="time"/>
          <w:color w:val="000000" w:themeColor="text1"/>
        </w:rPr>
        <w:t>24.40</w:t>
      </w:r>
      <w:r>
        <w:rPr>
          <w:rFonts w:ascii="time" w:hAnsi="time" w:hint="eastAsia"/>
          <w:color w:val="000000" w:themeColor="text1"/>
        </w:rPr>
        <w:t>%</w:t>
      </w:r>
      <w:r>
        <w:rPr>
          <w:rFonts w:ascii="time" w:hAnsi="time" w:hint="eastAsia"/>
          <w:color w:val="000000" w:themeColor="text1"/>
        </w:rPr>
        <w:t>）、“强化专业实践环节”（</w:t>
      </w:r>
      <w:r>
        <w:rPr>
          <w:rFonts w:ascii="time" w:hAnsi="time"/>
          <w:color w:val="000000" w:themeColor="text1"/>
        </w:rPr>
        <w:t>22.00</w:t>
      </w:r>
      <w:r>
        <w:rPr>
          <w:rFonts w:ascii="time" w:hAnsi="time" w:hint="eastAsia"/>
          <w:color w:val="000000" w:themeColor="text1"/>
        </w:rPr>
        <w:t>%</w:t>
      </w:r>
      <w:r>
        <w:rPr>
          <w:rFonts w:ascii="time" w:hAnsi="time" w:hint="eastAsia"/>
          <w:color w:val="000000" w:themeColor="text1"/>
        </w:rPr>
        <w:t>）和“夯实专业知识”（</w:t>
      </w:r>
      <w:r>
        <w:rPr>
          <w:rFonts w:ascii="time" w:hAnsi="time"/>
          <w:color w:val="000000" w:themeColor="text1"/>
        </w:rPr>
        <w:t>17.94</w:t>
      </w:r>
      <w:r>
        <w:rPr>
          <w:rFonts w:ascii="time" w:hAnsi="time" w:hint="eastAsia"/>
          <w:color w:val="000000" w:themeColor="text1"/>
        </w:rPr>
        <w:t>%</w:t>
      </w:r>
      <w:r>
        <w:rPr>
          <w:rFonts w:ascii="time" w:hAnsi="time" w:hint="eastAsia"/>
          <w:color w:val="000000" w:themeColor="text1"/>
        </w:rPr>
        <w:t>）</w:t>
      </w:r>
      <w:r>
        <w:rPr>
          <w:rFonts w:ascii="time" w:hAnsi="time" w:hint="eastAsia"/>
        </w:rPr>
        <w:t>。</w:t>
      </w:r>
    </w:p>
    <w:p w:rsidR="00603F28" w:rsidRDefault="00041260">
      <w:pPr>
        <w:ind w:firstLineChars="200" w:firstLine="420"/>
        <w:rPr>
          <w:rFonts w:ascii="time" w:hAnsi="time" w:hint="eastAsia"/>
          <w:color w:val="000000" w:themeColor="text1"/>
        </w:rPr>
      </w:pPr>
      <w:r>
        <w:rPr>
          <w:rFonts w:ascii="time" w:hAnsi="time" w:hint="eastAsia"/>
        </w:rPr>
        <w:t>从毕业生提供给母校提供的建议来看，毕业生十分注重“实践性”和“实用性”培养，如人才培养的实践课程、专业课程的实用性、教师教学的实践教学、实践教学的专业见习和课程实践以及就业管理和就业指导服务的实践活动均反映了毕业生对实践能力提升的</w:t>
      </w:r>
      <w:r>
        <w:rPr>
          <w:rFonts w:ascii="time" w:hAnsi="time" w:hint="eastAsia"/>
        </w:rPr>
        <w:t>高度重视。</w:t>
      </w:r>
      <w:r>
        <w:rPr>
          <w:rFonts w:ascii="time" w:hAnsi="time" w:hint="eastAsia"/>
          <w:color w:val="000000" w:themeColor="text1"/>
        </w:rPr>
        <w:t>学校教育教学对毕业生更充分和更高质量就业有直接作用。因此学校要优化专业结构，加强专业课程建设，强化市场意识，紧密对接社会需求和服务区域经济社会发展新要求，提高专业课程质量，提升学生在工作和岗位中的适应度。</w:t>
      </w:r>
      <w:r>
        <w:rPr>
          <w:rFonts w:ascii="time" w:hAnsi="time" w:hint="eastAsia"/>
        </w:rPr>
        <w:t>学校为提升人才供需粘合度，可</w:t>
      </w:r>
      <w:r>
        <w:rPr>
          <w:rFonts w:ascii="time" w:hAnsi="time" w:hint="eastAsia"/>
          <w:b/>
        </w:rPr>
        <w:t>加强实践教学，</w:t>
      </w:r>
      <w:r>
        <w:rPr>
          <w:rFonts w:ascii="time" w:hAnsi="time" w:hint="eastAsia"/>
        </w:rPr>
        <w:t>实践教学可减少用人单位培养毕业生的成本和缩短毕业生岗位适应时间，提升用人单位对毕业生的满意度。学校通过巩固第一课堂，加强第二课堂，拓展第三课堂，形成“三课堂”互动机制，促进学生知识、能力、素质和个性的全面发展。学校深化实践教学中的专业技能型实践改革，加强专</w:t>
      </w:r>
      <w:r>
        <w:rPr>
          <w:rFonts w:ascii="time" w:hAnsi="time" w:hint="eastAsia"/>
        </w:rPr>
        <w:t>业实践设计，延长专业实践时间，建立相对独立的实践教学规划。</w:t>
      </w:r>
    </w:p>
    <w:p w:rsidR="00603F28" w:rsidRDefault="00041260">
      <w:pPr>
        <w:pStyle w:val="3"/>
        <w:rPr>
          <w:rFonts w:ascii="time" w:hAnsi="time" w:cstheme="majorBidi" w:hint="eastAsia"/>
          <w:color w:val="000000" w:themeColor="text1"/>
          <w:sz w:val="30"/>
        </w:rPr>
      </w:pPr>
      <w:bookmarkStart w:id="137" w:name="_Toc27642675"/>
      <w:r>
        <w:rPr>
          <w:rFonts w:ascii="time" w:hAnsi="time" w:cstheme="majorBidi" w:hint="eastAsia"/>
          <w:color w:val="000000" w:themeColor="text1"/>
          <w:sz w:val="30"/>
        </w:rPr>
        <w:t>四、就业服务：毕业生及用人单位认可度高，精细化就业服务</w:t>
      </w:r>
      <w:bookmarkEnd w:id="137"/>
    </w:p>
    <w:p w:rsidR="00603F28" w:rsidRDefault="00041260">
      <w:pPr>
        <w:ind w:firstLineChars="200" w:firstLine="420"/>
        <w:rPr>
          <w:rFonts w:ascii="time" w:hAnsi="time" w:hint="eastAsia"/>
        </w:rPr>
      </w:pPr>
      <w:r>
        <w:rPr>
          <w:rFonts w:ascii="time" w:hAnsi="time" w:hint="eastAsia"/>
        </w:rPr>
        <w:t>学校就业服务是毕业生更充分更高质量就业的重要保证，是学校实现“知识输入—人才输出”的重要环节，毕业生就业质量最直接、最充分的体现学校就业服务效果。调研数据显示，毕业生对母校就业管理和就业指导服务的总体满意度为</w:t>
      </w:r>
      <w:r>
        <w:rPr>
          <w:rFonts w:ascii="time" w:hAnsi="time" w:hint="eastAsia"/>
        </w:rPr>
        <w:t>89.</w:t>
      </w:r>
      <w:r>
        <w:rPr>
          <w:rFonts w:ascii="time" w:hAnsi="time"/>
        </w:rPr>
        <w:t>79</w:t>
      </w:r>
      <w:r>
        <w:rPr>
          <w:rFonts w:ascii="time" w:hAnsi="time" w:hint="eastAsia"/>
        </w:rPr>
        <w:t>%</w:t>
      </w:r>
      <w:r>
        <w:rPr>
          <w:rFonts w:ascii="time" w:hAnsi="time" w:hint="eastAsia"/>
        </w:rPr>
        <w:t>，分专业类别来看，音乐与舞蹈学类、中国语言文学类等</w:t>
      </w:r>
      <w:r>
        <w:rPr>
          <w:rFonts w:ascii="time" w:hAnsi="time" w:hint="eastAsia"/>
        </w:rPr>
        <w:t>13</w:t>
      </w:r>
      <w:r>
        <w:rPr>
          <w:rFonts w:ascii="time" w:hAnsi="time" w:hint="eastAsia"/>
        </w:rPr>
        <w:t>个专业类别的满意度在</w:t>
      </w:r>
      <w:r>
        <w:rPr>
          <w:rFonts w:ascii="time" w:hAnsi="time" w:hint="eastAsia"/>
        </w:rPr>
        <w:t>90%</w:t>
      </w:r>
      <w:r>
        <w:rPr>
          <w:rFonts w:ascii="time" w:hAnsi="time" w:hint="eastAsia"/>
        </w:rPr>
        <w:t>以上。</w:t>
      </w:r>
      <w:r>
        <w:rPr>
          <w:rFonts w:ascii="time" w:hAnsi="time" w:hint="eastAsia"/>
          <w:color w:val="000000" w:themeColor="text1"/>
        </w:rPr>
        <w:t>用人单位对学校就业服务的满意度为</w:t>
      </w:r>
      <w:r>
        <w:rPr>
          <w:rFonts w:ascii="time" w:hAnsi="time" w:hint="eastAsia"/>
          <w:color w:val="000000" w:themeColor="text1"/>
        </w:rPr>
        <w:t>99.</w:t>
      </w:r>
      <w:r>
        <w:rPr>
          <w:rFonts w:ascii="time" w:hAnsi="time"/>
          <w:color w:val="000000" w:themeColor="text1"/>
        </w:rPr>
        <w:t>58</w:t>
      </w:r>
      <w:r>
        <w:rPr>
          <w:rFonts w:ascii="time" w:hAnsi="time" w:hint="eastAsia"/>
          <w:color w:val="000000" w:themeColor="text1"/>
        </w:rPr>
        <w:t>%</w:t>
      </w:r>
      <w:r>
        <w:rPr>
          <w:rFonts w:ascii="time" w:hAnsi="time" w:hint="eastAsia"/>
          <w:color w:val="000000" w:themeColor="text1"/>
        </w:rPr>
        <w:t>；超五成用人单位表示“非常满意”（</w:t>
      </w:r>
      <w:r>
        <w:rPr>
          <w:rFonts w:ascii="time" w:hAnsi="time" w:hint="eastAsia"/>
          <w:color w:val="000000" w:themeColor="text1"/>
        </w:rPr>
        <w:t>5</w:t>
      </w:r>
      <w:r>
        <w:rPr>
          <w:rFonts w:ascii="time" w:hAnsi="time"/>
          <w:color w:val="000000" w:themeColor="text1"/>
        </w:rPr>
        <w:t>4.20</w:t>
      </w:r>
      <w:r>
        <w:rPr>
          <w:rFonts w:ascii="time" w:hAnsi="time" w:hint="eastAsia"/>
          <w:color w:val="000000" w:themeColor="text1"/>
        </w:rPr>
        <w:t>%</w:t>
      </w:r>
      <w:r>
        <w:rPr>
          <w:rFonts w:ascii="time" w:hAnsi="time" w:hint="eastAsia"/>
          <w:color w:val="000000" w:themeColor="text1"/>
        </w:rPr>
        <w:t>）。</w:t>
      </w:r>
      <w:r>
        <w:rPr>
          <w:rFonts w:ascii="time" w:hAnsi="time" w:hint="eastAsia"/>
        </w:rPr>
        <w:t>用人单位对就业服务工作评分均在</w:t>
      </w:r>
      <w:r>
        <w:rPr>
          <w:rFonts w:ascii="time" w:hAnsi="time" w:hint="eastAsia"/>
        </w:rPr>
        <w:t>4.</w:t>
      </w:r>
      <w:r>
        <w:rPr>
          <w:rFonts w:ascii="time" w:hAnsi="time"/>
        </w:rPr>
        <w:t>5</w:t>
      </w:r>
      <w:r>
        <w:rPr>
          <w:rFonts w:ascii="time" w:hAnsi="time" w:hint="eastAsia"/>
        </w:rPr>
        <w:t>分以上，其中最高的是“就业网站建设及信息服务”（</w:t>
      </w:r>
      <w:r>
        <w:rPr>
          <w:rFonts w:ascii="time" w:hAnsi="time" w:hint="eastAsia"/>
        </w:rPr>
        <w:t>4.</w:t>
      </w:r>
      <w:r>
        <w:rPr>
          <w:rFonts w:ascii="time" w:hAnsi="time"/>
        </w:rPr>
        <w:t>61</w:t>
      </w:r>
      <w:r>
        <w:rPr>
          <w:rFonts w:ascii="time" w:hAnsi="time" w:hint="eastAsia"/>
        </w:rPr>
        <w:t>分）；其次是“招聘场地安排对接”（</w:t>
      </w:r>
      <w:r>
        <w:rPr>
          <w:rFonts w:ascii="time" w:hAnsi="time" w:hint="eastAsia"/>
        </w:rPr>
        <w:t>4.6</w:t>
      </w:r>
      <w:r>
        <w:rPr>
          <w:rFonts w:ascii="time" w:hAnsi="time"/>
        </w:rPr>
        <w:t>1</w:t>
      </w:r>
      <w:r>
        <w:rPr>
          <w:rFonts w:ascii="time" w:hAnsi="time" w:hint="eastAsia"/>
        </w:rPr>
        <w:t>分）和“个性化服务”（</w:t>
      </w:r>
      <w:r>
        <w:rPr>
          <w:rFonts w:ascii="time" w:hAnsi="time" w:hint="eastAsia"/>
        </w:rPr>
        <w:t>4.6</w:t>
      </w:r>
      <w:r>
        <w:rPr>
          <w:rFonts w:ascii="time" w:hAnsi="time" w:hint="eastAsia"/>
        </w:rPr>
        <w:t>分）等。</w:t>
      </w:r>
    </w:p>
    <w:p w:rsidR="00603F28" w:rsidRDefault="00041260">
      <w:pPr>
        <w:ind w:firstLineChars="200" w:firstLine="420"/>
        <w:rPr>
          <w:rFonts w:ascii="time" w:hAnsi="time" w:hint="eastAsia"/>
        </w:rPr>
      </w:pPr>
      <w:r>
        <w:rPr>
          <w:rFonts w:ascii="time" w:hAnsi="time" w:hint="eastAsia"/>
        </w:rPr>
        <w:t>毕业生认为母校在就业管理和就业指导服务应该着重改进的方面是“相关实践类活动太少”（</w:t>
      </w:r>
      <w:r>
        <w:rPr>
          <w:rFonts w:ascii="time" w:hAnsi="time" w:hint="eastAsia"/>
        </w:rPr>
        <w:t>36.44%</w:t>
      </w:r>
      <w:r>
        <w:rPr>
          <w:rFonts w:ascii="time" w:hAnsi="time" w:hint="eastAsia"/>
        </w:rPr>
        <w:t>）、“相关教育课程不足”（</w:t>
      </w:r>
      <w:r>
        <w:rPr>
          <w:rFonts w:ascii="time" w:hAnsi="time" w:hint="eastAsia"/>
        </w:rPr>
        <w:t>25.97%</w:t>
      </w:r>
      <w:r>
        <w:rPr>
          <w:rFonts w:ascii="time" w:hAnsi="time" w:hint="eastAsia"/>
        </w:rPr>
        <w:t>）和“教学方法太过陈旧”（</w:t>
      </w:r>
      <w:r>
        <w:rPr>
          <w:rFonts w:ascii="time" w:hAnsi="time" w:hint="eastAsia"/>
        </w:rPr>
        <w:t>21.81%</w:t>
      </w:r>
      <w:r>
        <w:rPr>
          <w:rFonts w:ascii="time" w:hAnsi="time" w:hint="eastAsia"/>
        </w:rPr>
        <w:t>）。毕业生希望母校提供的就业指导服务主要有“提供实习岗位”（</w:t>
      </w:r>
      <w:r>
        <w:rPr>
          <w:rFonts w:ascii="time" w:hAnsi="time" w:hint="eastAsia"/>
        </w:rPr>
        <w:t>23.11%</w:t>
      </w:r>
      <w:r>
        <w:rPr>
          <w:rFonts w:ascii="time" w:hAnsi="time" w:hint="eastAsia"/>
        </w:rPr>
        <w:t>）和“求职、面试技巧培训”（</w:t>
      </w:r>
      <w:r>
        <w:rPr>
          <w:rFonts w:ascii="time" w:hAnsi="time" w:hint="eastAsia"/>
        </w:rPr>
        <w:t>20.75%</w:t>
      </w:r>
      <w:r>
        <w:rPr>
          <w:rFonts w:ascii="time" w:hAnsi="time" w:hint="eastAsia"/>
        </w:rPr>
        <w:t>）等；</w:t>
      </w:r>
      <w:r>
        <w:rPr>
          <w:rFonts w:ascii="time" w:hAnsi="time" w:hint="eastAsia"/>
          <w:color w:val="000000" w:themeColor="text1"/>
        </w:rPr>
        <w:t>用人单位</w:t>
      </w:r>
      <w:r>
        <w:rPr>
          <w:rFonts w:ascii="time" w:hAnsi="time" w:hint="eastAsia"/>
        </w:rPr>
        <w:t>对学校就业服务工作的改进建议主</w:t>
      </w:r>
      <w:r>
        <w:rPr>
          <w:rFonts w:ascii="time" w:hAnsi="time" w:hint="eastAsia"/>
        </w:rPr>
        <w:t>要是希望“加强宣传力度”（</w:t>
      </w:r>
      <w:r>
        <w:rPr>
          <w:rFonts w:ascii="time" w:hAnsi="time" w:hint="eastAsia"/>
        </w:rPr>
        <w:t>2</w:t>
      </w:r>
      <w:r>
        <w:rPr>
          <w:rFonts w:ascii="time" w:hAnsi="time"/>
        </w:rPr>
        <w:t>9.28</w:t>
      </w:r>
      <w:r>
        <w:rPr>
          <w:rFonts w:ascii="time" w:hAnsi="time" w:hint="eastAsia"/>
        </w:rPr>
        <w:t>%</w:t>
      </w:r>
      <w:r>
        <w:rPr>
          <w:rFonts w:ascii="time" w:hAnsi="time" w:hint="eastAsia"/>
        </w:rPr>
        <w:t>）、“加强校企沟通，走访用人单位”（</w:t>
      </w:r>
      <w:r>
        <w:rPr>
          <w:rFonts w:ascii="time" w:hAnsi="time" w:hint="eastAsia"/>
        </w:rPr>
        <w:t>2</w:t>
      </w:r>
      <w:r>
        <w:rPr>
          <w:rFonts w:ascii="time" w:hAnsi="time"/>
        </w:rPr>
        <w:t>7.08</w:t>
      </w:r>
      <w:r>
        <w:rPr>
          <w:rFonts w:ascii="time" w:hAnsi="time" w:hint="eastAsia"/>
        </w:rPr>
        <w:t>%</w:t>
      </w:r>
      <w:r>
        <w:rPr>
          <w:rFonts w:ascii="time" w:hAnsi="time" w:hint="eastAsia"/>
        </w:rPr>
        <w:t>）和“增加招聘场次”（</w:t>
      </w:r>
      <w:r>
        <w:rPr>
          <w:rFonts w:ascii="time" w:hAnsi="time" w:hint="eastAsia"/>
        </w:rPr>
        <w:t>24</w:t>
      </w:r>
      <w:r>
        <w:rPr>
          <w:rFonts w:ascii="time" w:hAnsi="time"/>
        </w:rPr>
        <w:t>.37%</w:t>
      </w:r>
      <w:r>
        <w:rPr>
          <w:rFonts w:ascii="time" w:hAnsi="time" w:hint="eastAsia"/>
        </w:rPr>
        <w:t>）</w:t>
      </w:r>
    </w:p>
    <w:p w:rsidR="00603F28" w:rsidRDefault="00041260">
      <w:pPr>
        <w:ind w:firstLineChars="200" w:firstLine="420"/>
        <w:rPr>
          <w:rFonts w:ascii="time" w:hAnsi="time" w:hint="eastAsia"/>
        </w:rPr>
      </w:pPr>
      <w:r>
        <w:rPr>
          <w:rFonts w:ascii="time" w:hAnsi="time" w:hint="eastAsia"/>
        </w:rPr>
        <w:t>学校毕业生就业质量较高，学校在就业服务和就业指导方面卓有成效。学校招生就业处将继续秉承“为人才培养服务”的工作理念，注重毕业生就业能力培养，加强就业指导教师的培养培训，推进就业指导教师队伍职业化、专业化、专家化，提升其就业指导能力。学校要将学生职业发展与就业指导课程贯穿于整个人才培养体系，将就业创业课程与学科专业相融合。在社会多元化影响下，大学生的个人发展诉求呈现多元化趋势，因此对其就</w:t>
      </w:r>
      <w:r>
        <w:rPr>
          <w:rFonts w:ascii="time" w:hAnsi="time" w:hint="eastAsia"/>
        </w:rPr>
        <w:t>业指导服务也应呈现多元化、差异化、个性化的特点，为不同群体在不同阶段、不同方向上的不同需求提供更加具有针对性的差异化指导服务；学校要注重就业“精细化”的管理，形成学校全体人员广泛参与，就业服务全程陪伴，就业信息全方位覆盖的就业格局。根据毕业生和用人单位需求，开展精准对接服务，推动搭建跨区域、跨行业、跨类别的招聘信息服务平台，学校可通过正确引导和精准帮扶，增强毕业生创新创业动力，建立灵活的创新创业评价机制，进一步细化和完善教学和学籍管理制度。</w:t>
      </w:r>
    </w:p>
    <w:p w:rsidR="00603F28" w:rsidRDefault="00041260">
      <w:pPr>
        <w:tabs>
          <w:tab w:val="right" w:pos="8730"/>
        </w:tabs>
        <w:spacing w:line="560" w:lineRule="exact"/>
        <w:ind w:firstLineChars="200" w:firstLine="420"/>
        <w:rPr>
          <w:rFonts w:ascii="time" w:hAnsi="time" w:hint="eastAsia"/>
        </w:rPr>
      </w:pPr>
      <w:r>
        <w:rPr>
          <w:rFonts w:ascii="time" w:hAnsi="time" w:hint="eastAsia"/>
        </w:rPr>
        <w:br w:type="page"/>
      </w:r>
    </w:p>
    <w:p w:rsidR="00603F28" w:rsidRDefault="00041260">
      <w:pPr>
        <w:pStyle w:val="1"/>
        <w:rPr>
          <w:rFonts w:ascii="time" w:hAnsi="time" w:hint="eastAsia"/>
        </w:rPr>
      </w:pPr>
      <w:bookmarkStart w:id="138" w:name="_Toc27642676"/>
      <w:r>
        <w:rPr>
          <w:rFonts w:ascii="time" w:hAnsi="time" w:hint="eastAsia"/>
        </w:rPr>
        <w:t>第七章</w:t>
      </w:r>
      <w:r>
        <w:rPr>
          <w:rFonts w:ascii="time" w:hAnsi="time"/>
        </w:rPr>
        <w:t xml:space="preserve"> </w:t>
      </w:r>
      <w:r>
        <w:rPr>
          <w:rFonts w:ascii="time" w:hAnsi="time" w:hint="eastAsia"/>
        </w:rPr>
        <w:t>2019</w:t>
      </w:r>
      <w:r>
        <w:rPr>
          <w:rFonts w:ascii="time" w:hAnsi="time" w:hint="eastAsia"/>
        </w:rPr>
        <w:t>届毕业生就业工作特色</w:t>
      </w:r>
      <w:bookmarkEnd w:id="138"/>
    </w:p>
    <w:p w:rsidR="00603F28" w:rsidRDefault="00041260">
      <w:pPr>
        <w:tabs>
          <w:tab w:val="right" w:pos="8730"/>
        </w:tabs>
        <w:spacing w:line="560" w:lineRule="exact"/>
        <w:ind w:firstLineChars="200" w:firstLine="420"/>
        <w:rPr>
          <w:rFonts w:ascii="宋体" w:hAnsi="宋体"/>
          <w:color w:val="000000"/>
          <w:kern w:val="0"/>
          <w:szCs w:val="21"/>
        </w:rPr>
      </w:pPr>
      <w:r>
        <w:rPr>
          <w:rFonts w:ascii="宋体" w:hAnsi="宋体" w:hint="eastAsia"/>
          <w:color w:val="000000"/>
          <w:kern w:val="0"/>
          <w:szCs w:val="21"/>
        </w:rPr>
        <w:t>我校坚持以习近平新时代中</w:t>
      </w:r>
      <w:r>
        <w:rPr>
          <w:rFonts w:ascii="宋体" w:hAnsi="宋体" w:hint="eastAsia"/>
          <w:color w:val="000000"/>
          <w:kern w:val="0"/>
          <w:szCs w:val="21"/>
        </w:rPr>
        <w:t>国特色社会主义思想和党的十九大精神为指导，深入贯彻落实党中央、国务院关于就业工作的一系列决策部署，进一步提高政治站位，增强做好学生就业工作的责任感、使命感和紧迫感，准确把握高等教育基本规律和人才成长规律，坚持以学生为中心、促进全面发展，主动适应社会发展及市场需求，坚持完善机制、加强持续改进，多措并举提高学生就业质量。</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一、主要工作举措</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（一）落实好“一把手工程”，健全就业工作机制</w:t>
      </w:r>
    </w:p>
    <w:p w:rsidR="00603F28" w:rsidRDefault="00041260">
      <w:pPr>
        <w:tabs>
          <w:tab w:val="right" w:pos="8730"/>
        </w:tabs>
        <w:spacing w:line="560" w:lineRule="exact"/>
        <w:ind w:firstLineChars="200" w:firstLine="420"/>
        <w:rPr>
          <w:rFonts w:ascii="宋体" w:hAnsi="宋体"/>
          <w:color w:val="000000"/>
          <w:kern w:val="0"/>
          <w:szCs w:val="21"/>
        </w:rPr>
      </w:pPr>
      <w:r>
        <w:rPr>
          <w:rFonts w:ascii="宋体" w:hAnsi="宋体" w:hint="eastAsia"/>
          <w:color w:val="000000"/>
          <w:kern w:val="0"/>
          <w:szCs w:val="21"/>
        </w:rPr>
        <w:t>学校高度重视就业工作，成立了校院两级就业工作领导小组；进一步健全了就业工作机制，有序推进全校就业工作。拟定就业工作考核奖励办法及</w:t>
      </w:r>
      <w:r>
        <w:rPr>
          <w:rFonts w:ascii="宋体" w:hAnsi="宋体" w:hint="eastAsia"/>
          <w:color w:val="000000"/>
          <w:kern w:val="0"/>
          <w:szCs w:val="21"/>
        </w:rPr>
        <w:t>考评工作体系，拟定加强和改进毕业生就业工作的实施意见，健全完善校院两级、全校参与的就业工作机制。继续鼓励学院举办大中型招聘会、办好校园专场招聘会；开好年度就业工作会和就业工作例会，按期发布就业工作简讯及就业率双周报，沟通全校就业工作，确保了全校就业稳妥推进。</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（二）强化思想价值引领，倡导基层就业、留赣就业</w:t>
      </w:r>
    </w:p>
    <w:p w:rsidR="00603F28" w:rsidRDefault="00041260">
      <w:pPr>
        <w:tabs>
          <w:tab w:val="right" w:pos="8730"/>
        </w:tabs>
        <w:spacing w:line="560" w:lineRule="exact"/>
        <w:ind w:firstLineChars="200" w:firstLine="420"/>
        <w:rPr>
          <w:rFonts w:ascii="宋体" w:hAnsi="宋体" w:cs="Tahoma"/>
          <w:color w:val="000000"/>
          <w:kern w:val="0"/>
          <w:szCs w:val="21"/>
        </w:rPr>
      </w:pPr>
      <w:r>
        <w:rPr>
          <w:rFonts w:ascii="宋体" w:hAnsi="宋体" w:hint="eastAsia"/>
          <w:color w:val="000000"/>
          <w:kern w:val="0"/>
          <w:szCs w:val="21"/>
        </w:rPr>
        <w:t>一是大力弘扬爱国主义精神，积极倡导毕业生将个人未来发展与国家需要相结合，支持鼓励毕业生服务国家发展战略就业，鼓励毕业生服务城乡基层就业。重点</w:t>
      </w:r>
      <w:r>
        <w:rPr>
          <w:rFonts w:ascii="宋体" w:hAnsi="宋体" w:cs="Tahoma" w:hint="eastAsia"/>
          <w:color w:val="000000"/>
          <w:kern w:val="0"/>
          <w:szCs w:val="21"/>
        </w:rPr>
        <w:t>做好了国家专项招录、江西省</w:t>
      </w:r>
      <w:r>
        <w:rPr>
          <w:rFonts w:ascii="宋体" w:hAnsi="宋体" w:hint="eastAsia"/>
          <w:color w:val="000000"/>
          <w:kern w:val="0"/>
          <w:szCs w:val="21"/>
        </w:rPr>
        <w:t>选调生项目</w:t>
      </w:r>
      <w:r>
        <w:rPr>
          <w:rFonts w:ascii="宋体" w:hAnsi="宋体" w:cs="Tahoma" w:hint="eastAsia"/>
          <w:color w:val="000000"/>
          <w:kern w:val="0"/>
          <w:szCs w:val="21"/>
        </w:rPr>
        <w:t>的宣传动员和组织推荐工作</w:t>
      </w:r>
      <w:r>
        <w:rPr>
          <w:rFonts w:ascii="宋体" w:hAnsi="宋体" w:hint="eastAsia"/>
          <w:color w:val="000000"/>
          <w:kern w:val="0"/>
          <w:szCs w:val="21"/>
        </w:rPr>
        <w:t>。</w:t>
      </w:r>
      <w:r>
        <w:rPr>
          <w:rFonts w:ascii="宋体" w:hAnsi="宋体" w:hint="eastAsia"/>
          <w:color w:val="000000"/>
          <w:kern w:val="0"/>
          <w:szCs w:val="21"/>
        </w:rPr>
        <w:t>2</w:t>
      </w:r>
      <w:r>
        <w:rPr>
          <w:rFonts w:ascii="宋体" w:hAnsi="宋体" w:hint="eastAsia"/>
          <w:color w:val="000000"/>
          <w:kern w:val="0"/>
          <w:szCs w:val="21"/>
        </w:rPr>
        <w:t>019</w:t>
      </w:r>
      <w:r>
        <w:rPr>
          <w:rFonts w:ascii="宋体" w:hAnsi="宋体" w:hint="eastAsia"/>
          <w:color w:val="000000"/>
          <w:kern w:val="0"/>
          <w:szCs w:val="21"/>
        </w:rPr>
        <w:t>年全校有</w:t>
      </w:r>
      <w:r>
        <w:rPr>
          <w:rFonts w:ascii="宋体" w:hAnsi="宋体" w:cs="Tahoma" w:hint="eastAsia"/>
          <w:color w:val="000000"/>
          <w:kern w:val="0"/>
          <w:szCs w:val="21"/>
        </w:rPr>
        <w:t>3</w:t>
      </w:r>
      <w:r>
        <w:rPr>
          <w:rFonts w:ascii="宋体" w:hAnsi="宋体" w:cs="Tahoma" w:hint="eastAsia"/>
          <w:color w:val="000000"/>
          <w:kern w:val="0"/>
          <w:szCs w:val="21"/>
        </w:rPr>
        <w:t>名本科毕业生顺利通过西藏专项招录。</w:t>
      </w:r>
    </w:p>
    <w:p w:rsidR="00603F28" w:rsidRDefault="00041260">
      <w:pPr>
        <w:tabs>
          <w:tab w:val="right" w:pos="8730"/>
        </w:tabs>
        <w:spacing w:line="560" w:lineRule="exact"/>
        <w:ind w:firstLineChars="200" w:firstLine="420"/>
        <w:rPr>
          <w:rFonts w:ascii="宋体" w:hAnsi="宋体"/>
          <w:color w:val="000000"/>
          <w:kern w:val="0"/>
          <w:szCs w:val="21"/>
        </w:rPr>
      </w:pPr>
      <w:r>
        <w:rPr>
          <w:rFonts w:ascii="宋体" w:hAnsi="宋体" w:hint="eastAsia"/>
          <w:bCs/>
          <w:color w:val="000000"/>
          <w:kern w:val="0"/>
          <w:szCs w:val="21"/>
        </w:rPr>
        <w:t>二是大力鼓励毕业生留省留赣就业创业。</w:t>
      </w:r>
      <w:r>
        <w:rPr>
          <w:rFonts w:ascii="宋体" w:hAnsi="宋体" w:hint="eastAsia"/>
          <w:color w:val="000000"/>
          <w:kern w:val="0"/>
          <w:szCs w:val="21"/>
        </w:rPr>
        <w:t>全省高校首推“赣鄱名企引才政策宣讲会”，营造留赣就业氛围。邀请了四特酒、双胞胎等</w:t>
      </w:r>
      <w:r>
        <w:rPr>
          <w:rFonts w:ascii="宋体" w:hAnsi="宋体" w:hint="eastAsia"/>
          <w:color w:val="000000"/>
          <w:kern w:val="0"/>
          <w:szCs w:val="21"/>
        </w:rPr>
        <w:t>6</w:t>
      </w:r>
      <w:r>
        <w:rPr>
          <w:rFonts w:ascii="宋体" w:hAnsi="宋体" w:hint="eastAsia"/>
          <w:color w:val="000000"/>
          <w:kern w:val="0"/>
          <w:szCs w:val="21"/>
        </w:rPr>
        <w:t>家企业代表，向师生介绍企业情况及相关地方人才政策，加深广大学子对留赣就业的认识，强化了鼓励留赣就业氛围。主动对接江西省国资委，承办了首届“江西省属国有企业及中央驻赣企业专场人才招聘会”，实际行动助推留赣目标落实。共同举办的专场人才招聘会，到会企业</w:t>
      </w:r>
      <w:r>
        <w:rPr>
          <w:rFonts w:ascii="宋体" w:hAnsi="宋体" w:hint="eastAsia"/>
          <w:color w:val="000000"/>
          <w:kern w:val="0"/>
          <w:szCs w:val="21"/>
        </w:rPr>
        <w:t>30</w:t>
      </w:r>
      <w:r>
        <w:rPr>
          <w:rFonts w:ascii="宋体" w:hAnsi="宋体" w:hint="eastAsia"/>
          <w:color w:val="000000"/>
          <w:kern w:val="0"/>
          <w:szCs w:val="21"/>
        </w:rPr>
        <w:t>家；吸引了省内众多高校毕业生参会，反馈效果良好。</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（三）利用好企业和校友资源，拓宽学生就业渠道</w:t>
      </w:r>
    </w:p>
    <w:p w:rsidR="00603F28" w:rsidRDefault="00041260">
      <w:pPr>
        <w:tabs>
          <w:tab w:val="right" w:pos="8730"/>
        </w:tabs>
        <w:spacing w:line="560" w:lineRule="exact"/>
        <w:ind w:firstLineChars="200" w:firstLine="420"/>
        <w:rPr>
          <w:rFonts w:ascii="宋体" w:hAnsi="宋体"/>
          <w:color w:val="000000"/>
          <w:kern w:val="0"/>
          <w:szCs w:val="21"/>
        </w:rPr>
      </w:pPr>
      <w:r>
        <w:rPr>
          <w:rFonts w:ascii="宋体" w:hAnsi="宋体" w:hint="eastAsia"/>
          <w:color w:val="000000"/>
          <w:kern w:val="0"/>
          <w:szCs w:val="21"/>
        </w:rPr>
        <w:t>充分利用政府机构、人才人事中心、第三方平台等资源，学校学院各级校友资源，以及就业工作</w:t>
      </w:r>
      <w:r>
        <w:rPr>
          <w:rFonts w:ascii="宋体" w:hAnsi="宋体" w:hint="eastAsia"/>
          <w:color w:val="000000"/>
          <w:kern w:val="0"/>
          <w:szCs w:val="21"/>
        </w:rPr>
        <w:t>平台共享资源，为毕业生拓宽就业渠道，增加就业机会。一是立足校内资源，办好校园招聘会。为</w:t>
      </w:r>
      <w:r>
        <w:rPr>
          <w:rFonts w:ascii="宋体" w:hAnsi="宋体" w:hint="eastAsia"/>
          <w:color w:val="000000"/>
          <w:kern w:val="0"/>
          <w:szCs w:val="21"/>
        </w:rPr>
        <w:t>2019</w:t>
      </w:r>
      <w:r>
        <w:rPr>
          <w:rFonts w:ascii="宋体" w:hAnsi="宋体" w:hint="eastAsia"/>
          <w:color w:val="000000"/>
          <w:kern w:val="0"/>
          <w:szCs w:val="21"/>
        </w:rPr>
        <w:t>届毕业生举办大中型供需见面会</w:t>
      </w:r>
      <w:r>
        <w:rPr>
          <w:rFonts w:ascii="宋体" w:hAnsi="宋体" w:hint="eastAsia"/>
          <w:color w:val="000000"/>
          <w:kern w:val="0"/>
          <w:szCs w:val="21"/>
        </w:rPr>
        <w:t>15</w:t>
      </w:r>
      <w:r>
        <w:rPr>
          <w:rFonts w:ascii="宋体" w:hAnsi="宋体" w:hint="eastAsia"/>
          <w:color w:val="000000"/>
          <w:kern w:val="0"/>
          <w:szCs w:val="21"/>
        </w:rPr>
        <w:t>场，承办“江西省</w:t>
      </w:r>
      <w:r>
        <w:rPr>
          <w:rFonts w:ascii="宋体" w:hAnsi="宋体" w:hint="eastAsia"/>
          <w:color w:val="000000"/>
          <w:kern w:val="0"/>
          <w:szCs w:val="21"/>
        </w:rPr>
        <w:t>2019</w:t>
      </w:r>
      <w:r>
        <w:rPr>
          <w:rFonts w:ascii="宋体" w:hAnsi="宋体" w:hint="eastAsia"/>
          <w:color w:val="000000"/>
          <w:kern w:val="0"/>
          <w:szCs w:val="21"/>
        </w:rPr>
        <w:t>届普通高校毕业生互联网</w:t>
      </w:r>
      <w:r>
        <w:rPr>
          <w:rFonts w:ascii="宋体" w:hAnsi="宋体" w:hint="eastAsia"/>
          <w:color w:val="000000"/>
          <w:kern w:val="0"/>
          <w:szCs w:val="21"/>
        </w:rPr>
        <w:t>+</w:t>
      </w:r>
      <w:r>
        <w:rPr>
          <w:rFonts w:ascii="宋体" w:hAnsi="宋体" w:hint="eastAsia"/>
          <w:color w:val="000000"/>
          <w:kern w:val="0"/>
          <w:szCs w:val="21"/>
        </w:rPr>
        <w:t>财经类专场招聘会”；举办校园专场招聘会</w:t>
      </w:r>
      <w:r>
        <w:rPr>
          <w:rFonts w:ascii="宋体" w:hAnsi="宋体" w:hint="eastAsia"/>
          <w:color w:val="000000"/>
          <w:kern w:val="0"/>
          <w:szCs w:val="21"/>
        </w:rPr>
        <w:t>912</w:t>
      </w:r>
      <w:r>
        <w:rPr>
          <w:rFonts w:ascii="宋体" w:hAnsi="宋体" w:hint="eastAsia"/>
          <w:color w:val="000000"/>
          <w:kern w:val="0"/>
          <w:szCs w:val="21"/>
        </w:rPr>
        <w:t>场（</w:t>
      </w:r>
      <w:r>
        <w:rPr>
          <w:rFonts w:ascii="宋体" w:hAnsi="宋体" w:hint="eastAsia"/>
          <w:color w:val="000000"/>
          <w:kern w:val="0"/>
          <w:szCs w:val="21"/>
        </w:rPr>
        <w:t>2018</w:t>
      </w:r>
      <w:r>
        <w:rPr>
          <w:rFonts w:ascii="宋体" w:hAnsi="宋体" w:hint="eastAsia"/>
          <w:color w:val="000000"/>
          <w:kern w:val="0"/>
          <w:szCs w:val="21"/>
        </w:rPr>
        <w:t>届为</w:t>
      </w:r>
      <w:r>
        <w:rPr>
          <w:rFonts w:ascii="宋体" w:hAnsi="宋体" w:hint="eastAsia"/>
          <w:color w:val="000000"/>
          <w:kern w:val="0"/>
          <w:szCs w:val="21"/>
        </w:rPr>
        <w:t>819</w:t>
      </w:r>
      <w:r>
        <w:rPr>
          <w:rFonts w:ascii="宋体" w:hAnsi="宋体" w:hint="eastAsia"/>
          <w:color w:val="000000"/>
          <w:kern w:val="0"/>
          <w:szCs w:val="21"/>
        </w:rPr>
        <w:t>家），接洽进校企业</w:t>
      </w:r>
      <w:r>
        <w:rPr>
          <w:rFonts w:ascii="宋体" w:hAnsi="宋体" w:hint="eastAsia"/>
          <w:color w:val="000000"/>
          <w:kern w:val="0"/>
          <w:szCs w:val="21"/>
        </w:rPr>
        <w:t>2017</w:t>
      </w:r>
      <w:r>
        <w:rPr>
          <w:rFonts w:ascii="宋体" w:hAnsi="宋体" w:hint="eastAsia"/>
          <w:color w:val="000000"/>
          <w:kern w:val="0"/>
          <w:szCs w:val="21"/>
        </w:rPr>
        <w:t>家。二是面向市场需求，广开就业渠道。充分利用好校友和企业资源，积极对接校企人才洽谈会，组织开拓就业市场。</w:t>
      </w:r>
      <w:r>
        <w:rPr>
          <w:rFonts w:ascii="宋体" w:hAnsi="宋体" w:hint="eastAsia"/>
          <w:color w:val="000000"/>
          <w:kern w:val="0"/>
          <w:szCs w:val="21"/>
        </w:rPr>
        <w:t>2019</w:t>
      </w:r>
      <w:r>
        <w:rPr>
          <w:rFonts w:ascii="宋体" w:hAnsi="宋体" w:hint="eastAsia"/>
          <w:color w:val="000000"/>
          <w:kern w:val="0"/>
          <w:szCs w:val="21"/>
        </w:rPr>
        <w:t>年全年共组织就业市场走访和开拓</w:t>
      </w:r>
      <w:r>
        <w:rPr>
          <w:rFonts w:ascii="宋体" w:hAnsi="宋体" w:hint="eastAsia"/>
          <w:color w:val="000000"/>
          <w:kern w:val="0"/>
          <w:szCs w:val="21"/>
        </w:rPr>
        <w:t>13</w:t>
      </w:r>
      <w:r>
        <w:rPr>
          <w:rFonts w:ascii="宋体" w:hAnsi="宋体" w:hint="eastAsia"/>
          <w:color w:val="000000"/>
          <w:kern w:val="0"/>
          <w:szCs w:val="21"/>
        </w:rPr>
        <w:t>次，参加校企就业洽谈对接</w:t>
      </w:r>
      <w:r>
        <w:rPr>
          <w:rFonts w:ascii="宋体" w:hAnsi="宋体" w:hint="eastAsia"/>
          <w:color w:val="000000"/>
          <w:kern w:val="0"/>
          <w:szCs w:val="21"/>
        </w:rPr>
        <w:t>7</w:t>
      </w:r>
      <w:r>
        <w:rPr>
          <w:rFonts w:ascii="宋体" w:hAnsi="宋体" w:hint="eastAsia"/>
          <w:color w:val="000000"/>
          <w:kern w:val="0"/>
          <w:szCs w:val="21"/>
        </w:rPr>
        <w:t>次，接洽校外企业</w:t>
      </w:r>
      <w:r>
        <w:rPr>
          <w:rFonts w:ascii="宋体" w:hAnsi="宋体" w:hint="eastAsia"/>
          <w:color w:val="000000"/>
          <w:kern w:val="0"/>
          <w:szCs w:val="21"/>
        </w:rPr>
        <w:t>258</w:t>
      </w:r>
      <w:r>
        <w:rPr>
          <w:rFonts w:ascii="宋体" w:hAnsi="宋体" w:hint="eastAsia"/>
          <w:color w:val="000000"/>
          <w:kern w:val="0"/>
          <w:szCs w:val="21"/>
        </w:rPr>
        <w:t>家。</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（四）管好用好学生助理团队，提升就业服务质量</w:t>
      </w:r>
    </w:p>
    <w:p w:rsidR="00603F28" w:rsidRDefault="00041260">
      <w:pPr>
        <w:tabs>
          <w:tab w:val="right" w:pos="8730"/>
        </w:tabs>
        <w:spacing w:line="560" w:lineRule="exact"/>
        <w:ind w:firstLineChars="200" w:firstLine="420"/>
        <w:rPr>
          <w:rFonts w:ascii="宋体" w:hAnsi="宋体"/>
          <w:color w:val="000000"/>
          <w:kern w:val="0"/>
          <w:szCs w:val="21"/>
        </w:rPr>
      </w:pPr>
      <w:r>
        <w:rPr>
          <w:rFonts w:ascii="宋体" w:hAnsi="宋体" w:hint="eastAsia"/>
          <w:color w:val="000000"/>
          <w:kern w:val="0"/>
          <w:szCs w:val="21"/>
        </w:rPr>
        <w:t>坚持专业选拔、严格准入、岗前试用及集中培训，培养和管理好学生助理队伍，形成骨干成员梯队，规范服务项目和要求。校园招聘期间，每天对场地和设备进行整理及维护，确保高峰期每天超出</w:t>
      </w:r>
      <w:r>
        <w:rPr>
          <w:rFonts w:ascii="宋体" w:hAnsi="宋体" w:hint="eastAsia"/>
          <w:color w:val="000000"/>
          <w:kern w:val="0"/>
          <w:szCs w:val="21"/>
        </w:rPr>
        <w:t>15</w:t>
      </w:r>
      <w:r>
        <w:rPr>
          <w:rFonts w:ascii="宋体" w:hAnsi="宋体" w:hint="eastAsia"/>
          <w:color w:val="000000"/>
          <w:kern w:val="0"/>
          <w:szCs w:val="21"/>
        </w:rPr>
        <w:t>场专场宣讲会、笔面试的顺利进行。由来自全校各学院各年级近百名同学组成的强而有力的“江小助”，在个人得到历练同时，服务了企业校园招聘，保障了学校就业服务质量，受到用人单位好评。</w:t>
      </w:r>
    </w:p>
    <w:p w:rsidR="00603F28" w:rsidRDefault="00041260">
      <w:pPr>
        <w:tabs>
          <w:tab w:val="right" w:pos="8730"/>
        </w:tabs>
        <w:spacing w:line="560" w:lineRule="exact"/>
        <w:ind w:firstLineChars="200" w:firstLine="422"/>
        <w:rPr>
          <w:rFonts w:ascii="宋体" w:hAnsi="宋体"/>
          <w:b/>
          <w:color w:val="000000" w:themeColor="text1"/>
          <w:kern w:val="0"/>
          <w:szCs w:val="21"/>
        </w:rPr>
      </w:pPr>
      <w:r>
        <w:rPr>
          <w:rFonts w:ascii="宋体" w:hAnsi="宋体" w:hint="eastAsia"/>
          <w:b/>
          <w:color w:val="000000" w:themeColor="text1"/>
          <w:kern w:val="0"/>
          <w:szCs w:val="21"/>
        </w:rPr>
        <w:t>（五）运营好就业宣传平台，构建立体就业宣传网</w:t>
      </w:r>
    </w:p>
    <w:p w:rsidR="00603F28" w:rsidRDefault="00041260">
      <w:pPr>
        <w:tabs>
          <w:tab w:val="right" w:pos="8730"/>
        </w:tabs>
        <w:spacing w:line="560" w:lineRule="exact"/>
        <w:ind w:firstLineChars="200" w:firstLine="420"/>
        <w:rPr>
          <w:rFonts w:ascii="宋体" w:hAnsi="宋体"/>
          <w:color w:val="000000" w:themeColor="text1"/>
          <w:szCs w:val="21"/>
        </w:rPr>
      </w:pPr>
      <w:r>
        <w:rPr>
          <w:rFonts w:ascii="宋体" w:hAnsi="宋体" w:hint="eastAsia"/>
          <w:color w:val="000000" w:themeColor="text1"/>
          <w:szCs w:val="21"/>
        </w:rPr>
        <w:t>进一步优化就业信息化工作平台，运营好微信平台及就业信息网站的宣传媒介，发挥学校主流就业媒体应有功能。学校就业信息网与“江财云就业平台”微信服务号捆绑，</w:t>
      </w:r>
      <w:r>
        <w:rPr>
          <w:rFonts w:ascii="宋体" w:hAnsi="宋体" w:hint="eastAsia"/>
          <w:color w:val="000000" w:themeColor="text1"/>
          <w:szCs w:val="21"/>
        </w:rPr>
        <w:t>2019</w:t>
      </w:r>
      <w:r>
        <w:rPr>
          <w:rFonts w:ascii="宋体" w:hAnsi="宋体" w:hint="eastAsia"/>
          <w:color w:val="000000" w:themeColor="text1"/>
          <w:szCs w:val="21"/>
        </w:rPr>
        <w:t>年全年发布在线招聘信息</w:t>
      </w:r>
      <w:r>
        <w:rPr>
          <w:rFonts w:ascii="宋体" w:hAnsi="宋体" w:hint="eastAsia"/>
          <w:color w:val="000000" w:themeColor="text1"/>
          <w:szCs w:val="21"/>
        </w:rPr>
        <w:t>3285</w:t>
      </w:r>
      <w:r>
        <w:rPr>
          <w:rFonts w:ascii="宋体" w:hAnsi="宋体" w:hint="eastAsia"/>
          <w:color w:val="000000" w:themeColor="text1"/>
          <w:szCs w:val="21"/>
        </w:rPr>
        <w:t>条，网站访问量排全校第二；“江财就业”微信公众号目前拥有粉丝数</w:t>
      </w:r>
      <w:r>
        <w:rPr>
          <w:rFonts w:ascii="宋体" w:hAnsi="宋体"/>
          <w:color w:val="000000" w:themeColor="text1"/>
          <w:szCs w:val="21"/>
        </w:rPr>
        <w:t>4.27</w:t>
      </w:r>
      <w:r>
        <w:rPr>
          <w:rFonts w:ascii="宋体" w:hAnsi="宋体" w:hint="eastAsia"/>
          <w:color w:val="000000" w:themeColor="text1"/>
          <w:szCs w:val="21"/>
        </w:rPr>
        <w:t>万，坚持每天进行图文推送，全学年推送</w:t>
      </w:r>
      <w:r>
        <w:rPr>
          <w:rFonts w:ascii="宋体" w:hAnsi="宋体" w:hint="eastAsia"/>
          <w:color w:val="000000" w:themeColor="text1"/>
          <w:szCs w:val="21"/>
        </w:rPr>
        <w:t>1128</w:t>
      </w:r>
      <w:r>
        <w:rPr>
          <w:rFonts w:ascii="宋体" w:hAnsi="宋体" w:hint="eastAsia"/>
          <w:color w:val="000000" w:themeColor="text1"/>
          <w:szCs w:val="21"/>
        </w:rPr>
        <w:t>篇图文；</w:t>
      </w:r>
      <w:r>
        <w:rPr>
          <w:rFonts w:ascii="宋体" w:hAnsi="宋体" w:hint="eastAsia"/>
          <w:color w:val="000000" w:themeColor="text1"/>
          <w:szCs w:val="21"/>
        </w:rPr>
        <w:t>2019</w:t>
      </w:r>
      <w:r>
        <w:rPr>
          <w:rFonts w:ascii="宋体" w:hAnsi="宋体" w:hint="eastAsia"/>
          <w:color w:val="000000" w:themeColor="text1"/>
          <w:szCs w:val="21"/>
        </w:rPr>
        <w:t>年专门开设“留赣就业”栏目，对省内重点各地市历史文化、风土人情、经济发展状况、产业规划、人才政策及优秀企业进行宣传介绍；“江财就业”微信号蝉联</w:t>
      </w:r>
      <w:r>
        <w:rPr>
          <w:rFonts w:ascii="宋体" w:hAnsi="宋体" w:hint="eastAsia"/>
          <w:color w:val="000000" w:themeColor="text1"/>
          <w:szCs w:val="21"/>
        </w:rPr>
        <w:t>2018</w:t>
      </w:r>
      <w:r>
        <w:rPr>
          <w:rFonts w:ascii="宋体" w:hAnsi="宋体" w:hint="eastAsia"/>
          <w:color w:val="000000" w:themeColor="text1"/>
          <w:szCs w:val="21"/>
        </w:rPr>
        <w:t>年度“十佳校园新媒体平台”。</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（六）抓好课程</w:t>
      </w:r>
      <w:r>
        <w:rPr>
          <w:rFonts w:ascii="宋体" w:hAnsi="宋体" w:hint="eastAsia"/>
          <w:b/>
          <w:color w:val="000000"/>
          <w:kern w:val="0"/>
          <w:szCs w:val="21"/>
        </w:rPr>
        <w:t>教学及师资，夯实生涯教育基础</w:t>
      </w:r>
    </w:p>
    <w:p w:rsidR="00603F28" w:rsidRDefault="00041260">
      <w:pPr>
        <w:tabs>
          <w:tab w:val="right" w:pos="8730"/>
        </w:tabs>
        <w:spacing w:line="560" w:lineRule="exact"/>
        <w:ind w:firstLineChars="200" w:firstLine="420"/>
        <w:rPr>
          <w:rFonts w:ascii="宋体" w:hAnsi="宋体"/>
          <w:szCs w:val="21"/>
        </w:rPr>
      </w:pPr>
      <w:r>
        <w:rPr>
          <w:rFonts w:ascii="宋体" w:hAnsi="宋体" w:hint="eastAsia"/>
          <w:szCs w:val="21"/>
        </w:rPr>
        <w:t>坚持教师队伍的专业化建设，严格执行年度新任教师准入制度及集体备课制度。坚持规范教学大纲及课件，并进行课前集体备课，夯实了《大学生职业生涯发展与规划》、《就业指导》等课程在体系中的主导作用；</w:t>
      </w:r>
      <w:r>
        <w:rPr>
          <w:rFonts w:ascii="宋体" w:hAnsi="宋体" w:hint="eastAsia"/>
          <w:szCs w:val="21"/>
        </w:rPr>
        <w:t>2019</w:t>
      </w:r>
      <w:r>
        <w:rPr>
          <w:rFonts w:ascii="宋体" w:hAnsi="宋体" w:hint="eastAsia"/>
          <w:szCs w:val="21"/>
        </w:rPr>
        <w:t>年组织了课前集体备课及</w:t>
      </w:r>
      <w:r>
        <w:rPr>
          <w:rFonts w:ascii="宋体" w:hAnsi="宋体" w:hint="eastAsia"/>
          <w:szCs w:val="21"/>
        </w:rPr>
        <w:t>13</w:t>
      </w:r>
      <w:r>
        <w:rPr>
          <w:rFonts w:ascii="宋体" w:hAnsi="宋体" w:hint="eastAsia"/>
          <w:szCs w:val="21"/>
        </w:rPr>
        <w:t>名新任教师进行试讲，组织了职业礼仪、授课技巧及高校就业指导教师认证培训（</w:t>
      </w:r>
      <w:r>
        <w:rPr>
          <w:rFonts w:ascii="宋体" w:hAnsi="宋体" w:hint="eastAsia"/>
          <w:szCs w:val="21"/>
        </w:rPr>
        <w:t>TTT</w:t>
      </w:r>
      <w:r>
        <w:rPr>
          <w:rFonts w:ascii="宋体" w:hAnsi="宋体" w:hint="eastAsia"/>
          <w:szCs w:val="21"/>
        </w:rPr>
        <w:t>—</w:t>
      </w:r>
      <w:r>
        <w:rPr>
          <w:rFonts w:ascii="宋体" w:hAnsi="宋体" w:hint="eastAsia"/>
          <w:szCs w:val="21"/>
        </w:rPr>
        <w:t>2</w:t>
      </w:r>
      <w:r>
        <w:rPr>
          <w:rFonts w:ascii="宋体" w:hAnsi="宋体" w:hint="eastAsia"/>
          <w:szCs w:val="21"/>
        </w:rPr>
        <w:t>），累计培训教师</w:t>
      </w:r>
      <w:r>
        <w:rPr>
          <w:rFonts w:ascii="宋体" w:hAnsi="宋体" w:hint="eastAsia"/>
          <w:szCs w:val="21"/>
        </w:rPr>
        <w:t>100</w:t>
      </w:r>
      <w:r>
        <w:rPr>
          <w:rFonts w:ascii="宋体" w:hAnsi="宋体" w:hint="eastAsia"/>
          <w:szCs w:val="21"/>
        </w:rPr>
        <w:t>余人次，大幅度提升了师资队伍专业化水平；定期组织职业发展辅导沙龙，加强了教师之间的沟通及交流。在为留学生开设《大学生职业生涯发展与规划》课程的同时，还组织留</w:t>
      </w:r>
      <w:r>
        <w:rPr>
          <w:rFonts w:ascii="宋体" w:hAnsi="宋体" w:hint="eastAsia"/>
          <w:szCs w:val="21"/>
        </w:rPr>
        <w:t>学生队伍参加职业发展教育活动，促进了我校职业发展教育国际化。</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（七）完善生涯教育赛事活动，打造生涯教育品牌</w:t>
      </w:r>
    </w:p>
    <w:p w:rsidR="00603F28" w:rsidRDefault="00041260">
      <w:pPr>
        <w:spacing w:line="560" w:lineRule="exact"/>
        <w:ind w:firstLineChars="200" w:firstLine="420"/>
        <w:jc w:val="left"/>
        <w:rPr>
          <w:rFonts w:ascii="宋体" w:hAnsi="宋体"/>
          <w:b/>
          <w:color w:val="000000"/>
          <w:kern w:val="0"/>
          <w:szCs w:val="21"/>
        </w:rPr>
      </w:pPr>
      <w:r>
        <w:rPr>
          <w:rFonts w:ascii="宋体" w:hAnsi="宋体" w:hint="eastAsia"/>
          <w:szCs w:val="21"/>
        </w:rPr>
        <w:t>根据不同年级学生发展特点，把相适应的形式多样的职业发展教育活动贯穿于大学全过程，打造江财生涯教育品牌。</w:t>
      </w:r>
      <w:r>
        <w:rPr>
          <w:rFonts w:ascii="宋体" w:hAnsi="宋体" w:hint="eastAsia"/>
          <w:szCs w:val="21"/>
        </w:rPr>
        <w:t>2019</w:t>
      </w:r>
      <w:r>
        <w:rPr>
          <w:rFonts w:ascii="宋体" w:hAnsi="宋体" w:hint="eastAsia"/>
          <w:szCs w:val="21"/>
        </w:rPr>
        <w:t>年全年开展职业选择与决策、自我介绍、沟通表达、面试技巧等求职能力提升工作坊</w:t>
      </w:r>
      <w:r>
        <w:rPr>
          <w:rFonts w:ascii="宋体" w:hAnsi="宋体" w:hint="eastAsia"/>
          <w:szCs w:val="21"/>
        </w:rPr>
        <w:t>70</w:t>
      </w:r>
      <w:r>
        <w:rPr>
          <w:rFonts w:ascii="宋体" w:hAnsi="宋体" w:hint="eastAsia"/>
          <w:szCs w:val="21"/>
        </w:rPr>
        <w:t>余场，简历巡讲</w:t>
      </w:r>
      <w:r>
        <w:rPr>
          <w:rFonts w:ascii="宋体" w:hAnsi="宋体" w:hint="eastAsia"/>
          <w:szCs w:val="21"/>
        </w:rPr>
        <w:t>5</w:t>
      </w:r>
      <w:r>
        <w:rPr>
          <w:rFonts w:ascii="宋体" w:hAnsi="宋体" w:hint="eastAsia"/>
          <w:szCs w:val="21"/>
        </w:rPr>
        <w:t>场、个体咨询百余人次、职业大讲堂</w:t>
      </w:r>
      <w:r>
        <w:rPr>
          <w:rFonts w:ascii="宋体" w:hAnsi="宋体" w:hint="eastAsia"/>
          <w:szCs w:val="21"/>
        </w:rPr>
        <w:t>25</w:t>
      </w:r>
      <w:r>
        <w:rPr>
          <w:rFonts w:ascii="宋体" w:hAnsi="宋体" w:hint="eastAsia"/>
          <w:szCs w:val="21"/>
        </w:rPr>
        <w:t>场、考研及考公培训（</w:t>
      </w:r>
      <w:r>
        <w:rPr>
          <w:rFonts w:ascii="宋体" w:hAnsi="宋体" w:hint="eastAsia"/>
          <w:szCs w:val="21"/>
        </w:rPr>
        <w:t>2000</w:t>
      </w:r>
      <w:r>
        <w:rPr>
          <w:rFonts w:ascii="宋体" w:hAnsi="宋体" w:hint="eastAsia"/>
          <w:szCs w:val="21"/>
        </w:rPr>
        <w:t>余人参加）及直通名企实习生选拔赛（参赛人数</w:t>
      </w:r>
      <w:r>
        <w:rPr>
          <w:rFonts w:ascii="宋体" w:hAnsi="宋体" w:hint="eastAsia"/>
          <w:szCs w:val="21"/>
        </w:rPr>
        <w:t>1200</w:t>
      </w:r>
      <w:r>
        <w:rPr>
          <w:rFonts w:ascii="宋体" w:hAnsi="宋体" w:hint="eastAsia"/>
          <w:szCs w:val="21"/>
        </w:rPr>
        <w:t>余人）等活动。成立了三个生涯咨询辅导工作室，致力于为学生提供专业化、精细化、个性化的生</w:t>
      </w:r>
      <w:r>
        <w:rPr>
          <w:rFonts w:ascii="宋体" w:hAnsi="宋体" w:hint="eastAsia"/>
          <w:szCs w:val="21"/>
        </w:rPr>
        <w:t>涯发展咨询辅导，有针对性地解决学生的职业发展困惑；。成立华为财经俱乐部学生社团，借力企业资源，加强就业指导，促进学生高质量就业。我校的学生全程化职业发展教育成果获得了国内同行好评，多所省内外高校慕名来我校交流学习。</w:t>
      </w:r>
    </w:p>
    <w:p w:rsidR="00603F28" w:rsidRDefault="00041260">
      <w:pPr>
        <w:tabs>
          <w:tab w:val="right" w:pos="8730"/>
        </w:tabs>
        <w:spacing w:line="560" w:lineRule="exact"/>
        <w:ind w:firstLineChars="200" w:firstLine="422"/>
        <w:rPr>
          <w:rFonts w:ascii="宋体" w:hAnsi="宋体"/>
          <w:b/>
          <w:color w:val="000000"/>
          <w:kern w:val="0"/>
          <w:szCs w:val="21"/>
        </w:rPr>
      </w:pPr>
      <w:r>
        <w:rPr>
          <w:rFonts w:ascii="宋体" w:hAnsi="宋体" w:hint="eastAsia"/>
          <w:b/>
          <w:color w:val="000000"/>
          <w:kern w:val="0"/>
          <w:szCs w:val="21"/>
        </w:rPr>
        <w:t>（八）构建就业困难生台账，聚焦双困生精准帮扶</w:t>
      </w:r>
    </w:p>
    <w:p w:rsidR="00603F28" w:rsidRDefault="00041260">
      <w:pPr>
        <w:spacing w:line="560" w:lineRule="exact"/>
        <w:ind w:firstLineChars="200" w:firstLine="420"/>
        <w:jc w:val="left"/>
        <w:rPr>
          <w:rFonts w:ascii="time" w:hAnsi="time" w:hint="eastAsia"/>
          <w:b/>
          <w:bCs/>
          <w:kern w:val="44"/>
          <w:sz w:val="32"/>
          <w:szCs w:val="44"/>
        </w:rPr>
      </w:pPr>
      <w:r>
        <w:rPr>
          <w:rFonts w:ascii="宋体" w:hAnsi="宋体" w:hint="eastAsia"/>
          <w:szCs w:val="21"/>
        </w:rPr>
        <w:t>扎实细致做好毕业生就业帮扶工作。建立了少数民族学生和就业困难学生帮扶信息库，提供“一对一”就业指导服务，施行“销账”管理。为</w:t>
      </w:r>
      <w:r>
        <w:rPr>
          <w:rFonts w:ascii="宋体" w:hAnsi="宋体" w:hint="eastAsia"/>
          <w:szCs w:val="21"/>
        </w:rPr>
        <w:t>2019</w:t>
      </w:r>
      <w:r>
        <w:rPr>
          <w:rFonts w:ascii="宋体" w:hAnsi="宋体" w:hint="eastAsia"/>
          <w:szCs w:val="21"/>
        </w:rPr>
        <w:t>届</w:t>
      </w:r>
      <w:r>
        <w:rPr>
          <w:rFonts w:ascii="宋体" w:hAnsi="宋体" w:hint="eastAsia"/>
          <w:szCs w:val="21"/>
        </w:rPr>
        <w:t>640</w:t>
      </w:r>
      <w:r>
        <w:rPr>
          <w:rFonts w:ascii="宋体" w:hAnsi="宋体" w:hint="eastAsia"/>
          <w:szCs w:val="21"/>
        </w:rPr>
        <w:t>名困难毕业生发放一次性求职补贴</w:t>
      </w:r>
      <w:r>
        <w:rPr>
          <w:rFonts w:ascii="宋体" w:hAnsi="宋体" w:hint="eastAsia"/>
          <w:szCs w:val="21"/>
        </w:rPr>
        <w:t>64</w:t>
      </w:r>
      <w:r>
        <w:rPr>
          <w:rFonts w:ascii="宋体" w:hAnsi="宋体" w:hint="eastAsia"/>
          <w:szCs w:val="21"/>
        </w:rPr>
        <w:t>万元，完成</w:t>
      </w:r>
      <w:r>
        <w:rPr>
          <w:rFonts w:ascii="宋体" w:hAnsi="宋体" w:hint="eastAsia"/>
          <w:szCs w:val="21"/>
        </w:rPr>
        <w:t>2019</w:t>
      </w:r>
      <w:r>
        <w:rPr>
          <w:rFonts w:ascii="宋体" w:hAnsi="宋体" w:hint="eastAsia"/>
          <w:szCs w:val="21"/>
        </w:rPr>
        <w:t>届双困毕业生建档</w:t>
      </w:r>
      <w:r>
        <w:rPr>
          <w:rFonts w:ascii="宋体" w:hAnsi="宋体" w:hint="eastAsia"/>
          <w:szCs w:val="21"/>
        </w:rPr>
        <w:t>120</w:t>
      </w:r>
      <w:r>
        <w:rPr>
          <w:rFonts w:ascii="宋体" w:hAnsi="宋体" w:hint="eastAsia"/>
          <w:szCs w:val="21"/>
        </w:rPr>
        <w:t>人，发放</w:t>
      </w:r>
      <w:r>
        <w:rPr>
          <w:rFonts w:ascii="宋体" w:hAnsi="宋体"/>
          <w:szCs w:val="21"/>
        </w:rPr>
        <w:t>求职补贴（求职启动经费</w:t>
      </w:r>
      <w:r>
        <w:rPr>
          <w:rFonts w:ascii="宋体" w:hAnsi="宋体"/>
          <w:szCs w:val="21"/>
        </w:rPr>
        <w:t>+</w:t>
      </w:r>
      <w:r>
        <w:rPr>
          <w:rFonts w:ascii="宋体" w:hAnsi="宋体"/>
          <w:szCs w:val="21"/>
        </w:rPr>
        <w:t>求职差旅报销）</w:t>
      </w:r>
      <w:r>
        <w:rPr>
          <w:rFonts w:ascii="宋体" w:hAnsi="宋体" w:hint="eastAsia"/>
          <w:szCs w:val="21"/>
        </w:rPr>
        <w:t>共计</w:t>
      </w:r>
      <w:r>
        <w:rPr>
          <w:rFonts w:ascii="宋体" w:hAnsi="宋体"/>
          <w:szCs w:val="21"/>
        </w:rPr>
        <w:t>89462</w:t>
      </w:r>
      <w:r>
        <w:rPr>
          <w:rFonts w:ascii="宋体" w:hAnsi="宋体" w:hint="eastAsia"/>
          <w:szCs w:val="21"/>
        </w:rPr>
        <w:t>元。</w:t>
      </w:r>
      <w:r>
        <w:rPr>
          <w:rFonts w:ascii="宋体" w:hAnsi="宋体" w:hint="eastAsia"/>
          <w:szCs w:val="21"/>
        </w:rPr>
        <w:t>2019</w:t>
      </w:r>
      <w:r>
        <w:rPr>
          <w:rFonts w:ascii="宋体" w:hAnsi="宋体" w:hint="eastAsia"/>
          <w:szCs w:val="21"/>
        </w:rPr>
        <w:t>届建档立卡贫困户毕业生就业率</w:t>
      </w:r>
      <w:r>
        <w:rPr>
          <w:rFonts w:ascii="宋体" w:hAnsi="宋体" w:hint="eastAsia"/>
          <w:szCs w:val="21"/>
        </w:rPr>
        <w:t>98%</w:t>
      </w:r>
      <w:r>
        <w:rPr>
          <w:rFonts w:ascii="宋体" w:hAnsi="宋体" w:hint="eastAsia"/>
          <w:szCs w:val="21"/>
        </w:rPr>
        <w:t>，家庭经济困难和就业困难（双困生）毕业生就业率为</w:t>
      </w:r>
      <w:r>
        <w:rPr>
          <w:rFonts w:ascii="宋体" w:hAnsi="宋体" w:hint="eastAsia"/>
          <w:szCs w:val="21"/>
        </w:rPr>
        <w:t>93%</w:t>
      </w:r>
      <w:r>
        <w:rPr>
          <w:rFonts w:ascii="宋体" w:hAnsi="宋体" w:hint="eastAsia"/>
          <w:szCs w:val="21"/>
        </w:rPr>
        <w:t>，超出全校毕业生平均初次就业率。</w:t>
      </w:r>
      <w:r>
        <w:rPr>
          <w:rFonts w:ascii="time" w:hAnsi="time" w:hint="eastAsia"/>
        </w:rPr>
        <w:br w:type="page"/>
      </w:r>
    </w:p>
    <w:p w:rsidR="00603F28" w:rsidRDefault="00041260">
      <w:pPr>
        <w:pStyle w:val="1"/>
      </w:pPr>
      <w:bookmarkStart w:id="139" w:name="_Toc27642677"/>
      <w:r>
        <w:rPr>
          <w:rFonts w:ascii="time" w:hAnsi="time" w:hint="eastAsia"/>
        </w:rPr>
        <w:t>第八章</w:t>
      </w:r>
      <w:r>
        <w:rPr>
          <w:rFonts w:ascii="time" w:hAnsi="time"/>
        </w:rPr>
        <w:t xml:space="preserve"> </w:t>
      </w:r>
      <w:r>
        <w:rPr>
          <w:rFonts w:hint="eastAsia"/>
        </w:rPr>
        <w:t>2020</w:t>
      </w:r>
      <w:r>
        <w:rPr>
          <w:rFonts w:hint="eastAsia"/>
        </w:rPr>
        <w:t>届毕业生就业趋势分析及应对</w:t>
      </w:r>
      <w:bookmarkEnd w:id="139"/>
    </w:p>
    <w:p w:rsidR="00603F28" w:rsidRDefault="00041260">
      <w:pPr>
        <w:pStyle w:val="2"/>
      </w:pPr>
      <w:bookmarkStart w:id="140" w:name="_Toc27642678"/>
      <w:r>
        <w:rPr>
          <w:rFonts w:hint="eastAsia"/>
        </w:rPr>
        <w:t>一、本校近三届毕业生就业发展趋势</w:t>
      </w:r>
      <w:bookmarkEnd w:id="140"/>
    </w:p>
    <w:p w:rsidR="00603F28" w:rsidRDefault="00041260">
      <w:pPr>
        <w:pStyle w:val="3"/>
      </w:pPr>
      <w:bookmarkStart w:id="141" w:name="_Toc27642679"/>
      <w:r>
        <w:rPr>
          <w:rFonts w:hint="eastAsia"/>
        </w:rPr>
        <w:t>（一）初次就业率</w:t>
      </w:r>
      <w:r>
        <w:rPr>
          <w:rFonts w:hint="eastAsia"/>
        </w:rPr>
        <w:t>/</w:t>
      </w:r>
      <w:r>
        <w:rPr>
          <w:rFonts w:hint="eastAsia"/>
        </w:rPr>
        <w:t>常规就</w:t>
      </w:r>
      <w:r>
        <w:rPr>
          <w:rFonts w:hint="eastAsia"/>
        </w:rPr>
        <w:t>业率变化趋势</w:t>
      </w:r>
      <w:bookmarkEnd w:id="141"/>
    </w:p>
    <w:p w:rsidR="00603F28" w:rsidRDefault="00041260">
      <w:pPr>
        <w:ind w:firstLineChars="200" w:firstLine="420"/>
        <w:jc w:val="left"/>
        <w:rPr>
          <w:rFonts w:ascii="time" w:hAnsi="time" w:cs="Times New Roman" w:hint="eastAsia"/>
          <w:szCs w:val="21"/>
        </w:rPr>
      </w:pPr>
      <w:r>
        <w:rPr>
          <w:rFonts w:ascii="time" w:hAnsi="time" w:cs="Times New Roman"/>
          <w:szCs w:val="21"/>
        </w:rPr>
        <w:t>2014</w:t>
      </w:r>
      <w:r>
        <w:rPr>
          <w:rFonts w:ascii="time" w:hAnsi="time" w:cs="Times New Roman" w:hint="eastAsia"/>
          <w:szCs w:val="21"/>
        </w:rPr>
        <w:t>-</w:t>
      </w:r>
      <w:r>
        <w:rPr>
          <w:rFonts w:ascii="time" w:hAnsi="time" w:cs="Times New Roman"/>
          <w:szCs w:val="21"/>
        </w:rPr>
        <w:t>2019</w:t>
      </w:r>
      <w:r>
        <w:rPr>
          <w:rFonts w:ascii="time" w:hAnsi="time" w:cs="Times New Roman" w:hint="eastAsia"/>
          <w:szCs w:val="21"/>
        </w:rPr>
        <w:t>届本科毕业生初次就业率和常规就业率趋势基本稳定。</w:t>
      </w:r>
      <w:r>
        <w:rPr>
          <w:rFonts w:ascii="time" w:hAnsi="time" w:cs="Times New Roman" w:hint="eastAsia"/>
          <w:szCs w:val="21"/>
        </w:rPr>
        <w:t>2019</w:t>
      </w:r>
      <w:r>
        <w:rPr>
          <w:rFonts w:ascii="time" w:hAnsi="time" w:cs="Times New Roman" w:hint="eastAsia"/>
          <w:szCs w:val="21"/>
        </w:rPr>
        <w:t>届本科毕业生初次就业率为</w:t>
      </w:r>
      <w:r>
        <w:rPr>
          <w:rFonts w:ascii="time" w:hAnsi="time" w:cs="Times New Roman" w:hint="eastAsia"/>
          <w:szCs w:val="21"/>
        </w:rPr>
        <w:t>83.39%</w:t>
      </w:r>
      <w:r>
        <w:rPr>
          <w:rFonts w:ascii="time" w:hAnsi="time" w:cs="Times New Roman" w:hint="eastAsia"/>
          <w:szCs w:val="21"/>
        </w:rPr>
        <w:t>，较往年有所降低；常规就业率为</w:t>
      </w:r>
      <w:r>
        <w:rPr>
          <w:rFonts w:ascii="time" w:hAnsi="time" w:cs="Times New Roman" w:hint="eastAsia"/>
          <w:szCs w:val="21"/>
        </w:rPr>
        <w:t>64.26%</w:t>
      </w:r>
      <w:r>
        <w:rPr>
          <w:rFonts w:ascii="time" w:hAnsi="time" w:cs="Times New Roman" w:hint="eastAsia"/>
          <w:szCs w:val="21"/>
        </w:rPr>
        <w:t>，基本保持稳定。</w:t>
      </w:r>
    </w:p>
    <w:p w:rsidR="00603F28" w:rsidRDefault="00041260">
      <w:pPr>
        <w:keepNext/>
      </w:pPr>
      <w:r>
        <w:rPr>
          <w:noProof/>
        </w:rPr>
        <w:drawing>
          <wp:inline distT="0" distB="0" distL="0" distR="0">
            <wp:extent cx="5274310" cy="319024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1</w:t>
      </w:r>
      <w:r>
        <w:fldChar w:fldCharType="end"/>
      </w:r>
      <w:r>
        <w:t xml:space="preserve">  2014</w:t>
      </w:r>
      <w:r>
        <w:rPr>
          <w:rFonts w:hint="eastAsia"/>
        </w:rPr>
        <w:t>-</w:t>
      </w:r>
      <w:r>
        <w:t>2019</w:t>
      </w:r>
      <w:r>
        <w:rPr>
          <w:rFonts w:hint="eastAsia"/>
        </w:rPr>
        <w:t>届本科毕业生初次就业率和常规就业率变化趋势</w:t>
      </w:r>
    </w:p>
    <w:p w:rsidR="00603F28" w:rsidRDefault="00041260">
      <w:pPr>
        <w:pStyle w:val="3"/>
      </w:pPr>
      <w:bookmarkStart w:id="142" w:name="_Toc27642680"/>
      <w:r>
        <w:rPr>
          <w:rFonts w:hint="eastAsia"/>
        </w:rPr>
        <w:t>（二）国（境）内、外升学率变化趋势</w:t>
      </w:r>
      <w:bookmarkEnd w:id="142"/>
    </w:p>
    <w:p w:rsidR="00603F28" w:rsidRDefault="00041260">
      <w:pPr>
        <w:ind w:firstLineChars="200" w:firstLine="420"/>
        <w:jc w:val="left"/>
        <w:rPr>
          <w:rFonts w:ascii="time" w:hAnsi="time" w:cs="Times New Roman" w:hint="eastAsia"/>
          <w:szCs w:val="21"/>
        </w:rPr>
      </w:pPr>
      <w:r>
        <w:rPr>
          <w:rFonts w:ascii="time" w:hAnsi="time" w:cs="Times New Roman"/>
          <w:szCs w:val="21"/>
        </w:rPr>
        <w:t>2014</w:t>
      </w:r>
      <w:r>
        <w:rPr>
          <w:rFonts w:ascii="time" w:hAnsi="time" w:cs="Times New Roman" w:hint="eastAsia"/>
          <w:szCs w:val="21"/>
        </w:rPr>
        <w:t>-</w:t>
      </w:r>
      <w:r>
        <w:rPr>
          <w:rFonts w:ascii="time" w:hAnsi="time" w:cs="Times New Roman"/>
          <w:szCs w:val="21"/>
        </w:rPr>
        <w:t>2019</w:t>
      </w:r>
      <w:r>
        <w:rPr>
          <w:rFonts w:ascii="time" w:hAnsi="time" w:cs="Times New Roman" w:hint="eastAsia"/>
          <w:szCs w:val="21"/>
        </w:rPr>
        <w:t>届本科毕业生国（境）内、外升学率呈稳步上升趋势。</w:t>
      </w:r>
      <w:r>
        <w:rPr>
          <w:rFonts w:ascii="time" w:hAnsi="time" w:cs="Times New Roman" w:hint="eastAsia"/>
          <w:szCs w:val="21"/>
        </w:rPr>
        <w:t>2019</w:t>
      </w:r>
      <w:r>
        <w:rPr>
          <w:rFonts w:ascii="time" w:hAnsi="time" w:cs="Times New Roman" w:hint="eastAsia"/>
          <w:szCs w:val="21"/>
        </w:rPr>
        <w:t>届本科毕业生国（境）内升学率为</w:t>
      </w:r>
      <w:r>
        <w:rPr>
          <w:rFonts w:ascii="time" w:hAnsi="time" w:cs="Times New Roman" w:hint="eastAsia"/>
          <w:szCs w:val="21"/>
        </w:rPr>
        <w:t>17.45%</w:t>
      </w:r>
      <w:r>
        <w:rPr>
          <w:rFonts w:ascii="time" w:hAnsi="time" w:cs="Times New Roman" w:hint="eastAsia"/>
          <w:szCs w:val="21"/>
        </w:rPr>
        <w:t>，较</w:t>
      </w:r>
      <w:r>
        <w:rPr>
          <w:rFonts w:ascii="time" w:hAnsi="time" w:cs="Times New Roman" w:hint="eastAsia"/>
          <w:szCs w:val="21"/>
        </w:rPr>
        <w:t>2018</w:t>
      </w:r>
      <w:r>
        <w:rPr>
          <w:rFonts w:ascii="time" w:hAnsi="time" w:cs="Times New Roman" w:hint="eastAsia"/>
          <w:szCs w:val="21"/>
        </w:rPr>
        <w:t>届上升</w:t>
      </w:r>
      <w:r>
        <w:rPr>
          <w:rFonts w:ascii="time" w:hAnsi="time" w:cs="Times New Roman" w:hint="eastAsia"/>
          <w:szCs w:val="21"/>
        </w:rPr>
        <w:t>2.91%</w:t>
      </w:r>
      <w:r>
        <w:rPr>
          <w:rFonts w:ascii="time" w:hAnsi="time" w:cs="Times New Roman" w:hint="eastAsia"/>
          <w:szCs w:val="21"/>
        </w:rPr>
        <w:t>；国（境）外升学率为</w:t>
      </w:r>
      <w:r>
        <w:rPr>
          <w:rFonts w:ascii="time" w:hAnsi="time" w:cs="Times New Roman" w:hint="eastAsia"/>
          <w:szCs w:val="21"/>
        </w:rPr>
        <w:t>12.5</w:t>
      </w:r>
      <w:r>
        <w:rPr>
          <w:rFonts w:ascii="time" w:hAnsi="time" w:cs="Times New Roman"/>
          <w:szCs w:val="21"/>
        </w:rPr>
        <w:t>0</w:t>
      </w:r>
      <w:r>
        <w:rPr>
          <w:rFonts w:ascii="time" w:hAnsi="time" w:cs="Times New Roman" w:hint="eastAsia"/>
          <w:szCs w:val="21"/>
        </w:rPr>
        <w:t>%</w:t>
      </w:r>
      <w:r>
        <w:rPr>
          <w:rFonts w:ascii="time" w:hAnsi="time" w:cs="Times New Roman" w:hint="eastAsia"/>
          <w:szCs w:val="21"/>
        </w:rPr>
        <w:t>，较</w:t>
      </w:r>
      <w:r>
        <w:rPr>
          <w:rFonts w:ascii="time" w:hAnsi="time" w:cs="Times New Roman" w:hint="eastAsia"/>
          <w:szCs w:val="21"/>
        </w:rPr>
        <w:t>2018</w:t>
      </w:r>
      <w:r>
        <w:rPr>
          <w:rFonts w:ascii="time" w:hAnsi="time" w:cs="Times New Roman" w:hint="eastAsia"/>
          <w:szCs w:val="21"/>
        </w:rPr>
        <w:t>届上升</w:t>
      </w:r>
      <w:r>
        <w:rPr>
          <w:rFonts w:ascii="time" w:hAnsi="time" w:cs="Times New Roman" w:hint="eastAsia"/>
          <w:szCs w:val="21"/>
        </w:rPr>
        <w:t>1.9</w:t>
      </w:r>
      <w:r>
        <w:rPr>
          <w:rFonts w:ascii="time" w:hAnsi="time" w:cs="Times New Roman"/>
          <w:szCs w:val="21"/>
        </w:rPr>
        <w:t>7</w:t>
      </w:r>
      <w:r>
        <w:rPr>
          <w:rFonts w:ascii="time" w:hAnsi="time" w:cs="Times New Roman" w:hint="eastAsia"/>
          <w:szCs w:val="21"/>
        </w:rPr>
        <w:t>%</w:t>
      </w:r>
      <w:r>
        <w:rPr>
          <w:rFonts w:ascii="time" w:hAnsi="time" w:cs="Times New Roman" w:hint="eastAsia"/>
          <w:szCs w:val="21"/>
        </w:rPr>
        <w:t>。</w:t>
      </w:r>
      <w:r>
        <w:rPr>
          <w:rFonts w:ascii="time" w:hAnsi="time" w:cs="Times New Roman" w:hint="eastAsia"/>
          <w:szCs w:val="21"/>
        </w:rPr>
        <w:t>2019</w:t>
      </w:r>
      <w:r>
        <w:rPr>
          <w:rFonts w:ascii="time" w:hAnsi="time" w:cs="Times New Roman" w:hint="eastAsia"/>
          <w:szCs w:val="21"/>
        </w:rPr>
        <w:t>届本科毕业生总体继续深造比例为</w:t>
      </w:r>
      <w:r>
        <w:rPr>
          <w:rFonts w:ascii="time" w:hAnsi="time" w:cs="Times New Roman" w:hint="eastAsia"/>
          <w:szCs w:val="21"/>
        </w:rPr>
        <w:t>29.9</w:t>
      </w:r>
      <w:r>
        <w:rPr>
          <w:rFonts w:ascii="time" w:hAnsi="time" w:cs="Times New Roman"/>
          <w:szCs w:val="21"/>
        </w:rPr>
        <w:t>6</w:t>
      </w:r>
      <w:r>
        <w:rPr>
          <w:rFonts w:ascii="time" w:hAnsi="time" w:cs="Times New Roman" w:hint="eastAsia"/>
          <w:szCs w:val="21"/>
        </w:rPr>
        <w:t>%</w:t>
      </w:r>
      <w:r>
        <w:rPr>
          <w:rFonts w:ascii="time" w:hAnsi="time" w:cs="Times New Roman" w:hint="eastAsia"/>
          <w:szCs w:val="21"/>
        </w:rPr>
        <w:t>，较</w:t>
      </w:r>
      <w:r>
        <w:rPr>
          <w:rFonts w:ascii="time" w:hAnsi="time" w:cs="Times New Roman" w:hint="eastAsia"/>
          <w:szCs w:val="21"/>
        </w:rPr>
        <w:t>2018</w:t>
      </w:r>
      <w:r>
        <w:rPr>
          <w:rFonts w:ascii="time" w:hAnsi="time" w:cs="Times New Roman" w:hint="eastAsia"/>
          <w:szCs w:val="21"/>
        </w:rPr>
        <w:t>届上升</w:t>
      </w:r>
      <w:r>
        <w:rPr>
          <w:rFonts w:ascii="time" w:hAnsi="time" w:cs="Times New Roman" w:hint="eastAsia"/>
          <w:szCs w:val="21"/>
        </w:rPr>
        <w:t>4.</w:t>
      </w:r>
      <w:r>
        <w:rPr>
          <w:rFonts w:ascii="time" w:hAnsi="time" w:cs="Times New Roman"/>
          <w:szCs w:val="21"/>
        </w:rPr>
        <w:t>89</w:t>
      </w:r>
      <w:r>
        <w:rPr>
          <w:rFonts w:ascii="time" w:hAnsi="time" w:cs="Times New Roman" w:hint="eastAsia"/>
          <w:szCs w:val="21"/>
        </w:rPr>
        <w:t>%</w:t>
      </w:r>
      <w:r>
        <w:rPr>
          <w:rFonts w:ascii="time" w:hAnsi="time" w:cs="Times New Roman" w:hint="eastAsia"/>
          <w:szCs w:val="21"/>
        </w:rPr>
        <w:t>。</w:t>
      </w:r>
    </w:p>
    <w:p w:rsidR="00603F28" w:rsidRDefault="00041260">
      <w:pPr>
        <w:keepNext/>
      </w:pPr>
      <w:r>
        <w:rPr>
          <w:noProof/>
        </w:rPr>
        <w:drawing>
          <wp:inline distT="0" distB="0" distL="0" distR="0">
            <wp:extent cx="5274310" cy="3190240"/>
            <wp:effectExtent l="0" t="0" r="254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2</w:t>
      </w:r>
      <w:r>
        <w:fldChar w:fldCharType="end"/>
      </w:r>
      <w:r>
        <w:t xml:space="preserve">  2014</w:t>
      </w:r>
      <w:r>
        <w:rPr>
          <w:rFonts w:hint="eastAsia"/>
        </w:rPr>
        <w:t>-</w:t>
      </w:r>
      <w:r>
        <w:t>2019</w:t>
      </w:r>
      <w:r>
        <w:t>届本科毕业生</w:t>
      </w:r>
      <w:r>
        <w:rPr>
          <w:rFonts w:hint="eastAsia"/>
        </w:rPr>
        <w:t>国内升学率和出国（境）率变化趋势</w:t>
      </w:r>
    </w:p>
    <w:p w:rsidR="00603F28" w:rsidRDefault="00041260">
      <w:pPr>
        <w:pStyle w:val="3"/>
      </w:pPr>
      <w:bookmarkStart w:id="143" w:name="_Toc27642681"/>
      <w:r>
        <w:rPr>
          <w:rFonts w:hint="eastAsia"/>
        </w:rPr>
        <w:t>（三）就业行业变化趋势</w:t>
      </w:r>
      <w:bookmarkEnd w:id="143"/>
    </w:p>
    <w:p w:rsidR="00603F28" w:rsidRDefault="00041260">
      <w:pPr>
        <w:ind w:firstLineChars="200" w:firstLine="420"/>
        <w:jc w:val="left"/>
        <w:rPr>
          <w:rFonts w:ascii="time" w:hAnsi="time" w:cs="Times New Roman" w:hint="eastAsia"/>
          <w:szCs w:val="21"/>
        </w:rPr>
      </w:pPr>
      <w:r>
        <w:rPr>
          <w:rFonts w:ascii="time" w:hAnsi="time" w:cs="Times New Roman" w:hint="eastAsia"/>
          <w:szCs w:val="21"/>
        </w:rPr>
        <w:t>从</w:t>
      </w:r>
      <w:r>
        <w:rPr>
          <w:rFonts w:ascii="time" w:hAnsi="time" w:cs="Times New Roman"/>
          <w:szCs w:val="21"/>
        </w:rPr>
        <w:t>2018</w:t>
      </w:r>
      <w:r>
        <w:rPr>
          <w:rFonts w:ascii="time" w:hAnsi="time" w:cs="Times New Roman" w:hint="eastAsia"/>
          <w:szCs w:val="21"/>
        </w:rPr>
        <w:t>-</w:t>
      </w:r>
      <w:r>
        <w:rPr>
          <w:rFonts w:ascii="time" w:hAnsi="time" w:cs="Times New Roman"/>
          <w:szCs w:val="21"/>
        </w:rPr>
        <w:t>2019</w:t>
      </w:r>
      <w:r>
        <w:rPr>
          <w:rFonts w:ascii="time" w:hAnsi="time" w:cs="Times New Roman" w:hint="eastAsia"/>
          <w:szCs w:val="21"/>
        </w:rPr>
        <w:t>届本科毕业生就业行业变化趋势来看，</w:t>
      </w:r>
      <w:r>
        <w:rPr>
          <w:rFonts w:ascii="time" w:hAnsi="time" w:cs="Times New Roman" w:hint="eastAsia"/>
          <w:szCs w:val="21"/>
        </w:rPr>
        <w:t>2019</w:t>
      </w:r>
      <w:r>
        <w:rPr>
          <w:rFonts w:ascii="time" w:hAnsi="time" w:cs="Times New Roman" w:hint="eastAsia"/>
          <w:szCs w:val="21"/>
        </w:rPr>
        <w:t>届本科毕业生金融业（</w:t>
      </w:r>
      <w:r>
        <w:rPr>
          <w:rFonts w:ascii="time" w:hAnsi="time" w:cs="Times New Roman" w:hint="eastAsia"/>
          <w:szCs w:val="21"/>
        </w:rPr>
        <w:t>24.49%</w:t>
      </w:r>
      <w:r>
        <w:rPr>
          <w:rFonts w:ascii="time" w:hAnsi="time" w:cs="Times New Roman" w:hint="eastAsia"/>
          <w:szCs w:val="21"/>
        </w:rPr>
        <w:t>）和信息传输、软件和信息技术服务业（</w:t>
      </w:r>
      <w:r>
        <w:rPr>
          <w:rFonts w:ascii="time" w:hAnsi="time" w:cs="Times New Roman" w:hint="eastAsia"/>
          <w:szCs w:val="21"/>
        </w:rPr>
        <w:t>11.88%</w:t>
      </w:r>
      <w:r>
        <w:rPr>
          <w:rFonts w:ascii="time" w:hAnsi="time" w:cs="Times New Roman" w:hint="eastAsia"/>
          <w:szCs w:val="21"/>
        </w:rPr>
        <w:t>）、建筑业（</w:t>
      </w:r>
      <w:r>
        <w:rPr>
          <w:rFonts w:ascii="time" w:hAnsi="time" w:cs="Times New Roman" w:hint="eastAsia"/>
          <w:szCs w:val="21"/>
        </w:rPr>
        <w:t>9</w:t>
      </w:r>
      <w:r>
        <w:rPr>
          <w:rFonts w:ascii="time" w:hAnsi="time" w:cs="Times New Roman"/>
          <w:szCs w:val="21"/>
        </w:rPr>
        <w:t>.</w:t>
      </w:r>
      <w:r>
        <w:rPr>
          <w:rFonts w:ascii="time" w:hAnsi="time" w:cs="Times New Roman" w:hint="eastAsia"/>
          <w:szCs w:val="21"/>
        </w:rPr>
        <w:t>38%</w:t>
      </w:r>
      <w:r>
        <w:rPr>
          <w:rFonts w:ascii="time" w:hAnsi="time" w:cs="Times New Roman" w:hint="eastAsia"/>
          <w:szCs w:val="21"/>
        </w:rPr>
        <w:t>）以及批发和零售业（</w:t>
      </w:r>
      <w:r>
        <w:rPr>
          <w:rFonts w:ascii="time" w:hAnsi="time" w:cs="Times New Roman" w:hint="eastAsia"/>
          <w:szCs w:val="21"/>
        </w:rPr>
        <w:t>9.11%</w:t>
      </w:r>
      <w:r>
        <w:rPr>
          <w:rFonts w:ascii="time" w:hAnsi="time" w:cs="Times New Roman" w:hint="eastAsia"/>
          <w:szCs w:val="21"/>
        </w:rPr>
        <w:t>）的就业比例较</w:t>
      </w:r>
      <w:r>
        <w:rPr>
          <w:rFonts w:ascii="time" w:hAnsi="time" w:cs="Times New Roman" w:hint="eastAsia"/>
          <w:szCs w:val="21"/>
        </w:rPr>
        <w:t>2018</w:t>
      </w:r>
      <w:r>
        <w:rPr>
          <w:rFonts w:ascii="time" w:hAnsi="time" w:cs="Times New Roman" w:hint="eastAsia"/>
          <w:szCs w:val="21"/>
        </w:rPr>
        <w:t>届分别提升了</w:t>
      </w:r>
      <w:r>
        <w:rPr>
          <w:rFonts w:ascii="time" w:hAnsi="time" w:cs="Times New Roman" w:hint="eastAsia"/>
          <w:szCs w:val="21"/>
        </w:rPr>
        <w:t>3.80%</w:t>
      </w:r>
      <w:r>
        <w:rPr>
          <w:rFonts w:ascii="time" w:hAnsi="time" w:cs="Times New Roman" w:hint="eastAsia"/>
          <w:szCs w:val="21"/>
        </w:rPr>
        <w:t>、</w:t>
      </w:r>
      <w:r>
        <w:rPr>
          <w:rFonts w:ascii="time" w:hAnsi="time" w:cs="Times New Roman" w:hint="eastAsia"/>
          <w:szCs w:val="21"/>
        </w:rPr>
        <w:t>3.04</w:t>
      </w:r>
      <w:r>
        <w:rPr>
          <w:rFonts w:ascii="time" w:hAnsi="time" w:cs="Times New Roman" w:hint="eastAsia"/>
          <w:szCs w:val="21"/>
        </w:rPr>
        <w:t>、</w:t>
      </w:r>
      <w:r>
        <w:rPr>
          <w:rFonts w:ascii="time" w:hAnsi="time" w:cs="Times New Roman" w:hint="eastAsia"/>
          <w:szCs w:val="21"/>
        </w:rPr>
        <w:t>3.35%</w:t>
      </w:r>
      <w:r>
        <w:rPr>
          <w:rFonts w:ascii="time" w:hAnsi="time" w:cs="Times New Roman" w:hint="eastAsia"/>
          <w:szCs w:val="21"/>
        </w:rPr>
        <w:t>和</w:t>
      </w:r>
      <w:r>
        <w:rPr>
          <w:rFonts w:ascii="time" w:hAnsi="time" w:cs="Times New Roman" w:hint="eastAsia"/>
          <w:szCs w:val="21"/>
        </w:rPr>
        <w:t>5</w:t>
      </w:r>
      <w:r>
        <w:rPr>
          <w:rFonts w:ascii="time" w:hAnsi="time" w:cs="Times New Roman"/>
          <w:szCs w:val="21"/>
        </w:rPr>
        <w:t>.</w:t>
      </w:r>
      <w:r>
        <w:rPr>
          <w:rFonts w:ascii="time" w:hAnsi="time" w:cs="Times New Roman" w:hint="eastAsia"/>
          <w:szCs w:val="21"/>
        </w:rPr>
        <w:t>24%</w:t>
      </w:r>
      <w:r>
        <w:rPr>
          <w:rFonts w:ascii="time" w:hAnsi="time" w:cs="Times New Roman" w:hint="eastAsia"/>
          <w:szCs w:val="21"/>
        </w:rPr>
        <w:t>；制造业（</w:t>
      </w:r>
      <w:r>
        <w:rPr>
          <w:rFonts w:ascii="time" w:hAnsi="time" w:cs="Times New Roman" w:hint="eastAsia"/>
          <w:szCs w:val="21"/>
        </w:rPr>
        <w:t>13.71%</w:t>
      </w:r>
      <w:r>
        <w:rPr>
          <w:rFonts w:ascii="time" w:hAnsi="time" w:cs="Times New Roman" w:hint="eastAsia"/>
          <w:szCs w:val="21"/>
        </w:rPr>
        <w:t>）以及租赁和商务服务业（</w:t>
      </w:r>
      <w:r>
        <w:rPr>
          <w:rFonts w:ascii="time" w:hAnsi="time" w:cs="Times New Roman" w:hint="eastAsia"/>
          <w:szCs w:val="21"/>
        </w:rPr>
        <w:t>2.13%</w:t>
      </w:r>
      <w:r>
        <w:rPr>
          <w:rFonts w:ascii="time" w:hAnsi="time" w:cs="Times New Roman" w:hint="eastAsia"/>
          <w:szCs w:val="21"/>
        </w:rPr>
        <w:t>）的就业比例</w:t>
      </w:r>
      <w:r>
        <w:rPr>
          <w:rFonts w:ascii="time" w:hAnsi="time" w:cs="Times New Roman" w:hint="eastAsia"/>
          <w:szCs w:val="21"/>
        </w:rPr>
        <w:t>2018</w:t>
      </w:r>
      <w:r>
        <w:rPr>
          <w:rFonts w:ascii="time" w:hAnsi="time" w:cs="Times New Roman" w:hint="eastAsia"/>
          <w:szCs w:val="21"/>
        </w:rPr>
        <w:t>届分别下降了</w:t>
      </w:r>
      <w:r>
        <w:rPr>
          <w:rFonts w:ascii="time" w:hAnsi="time" w:cs="Times New Roman" w:hint="eastAsia"/>
          <w:szCs w:val="21"/>
        </w:rPr>
        <w:t>5.14%</w:t>
      </w:r>
      <w:r>
        <w:rPr>
          <w:rFonts w:ascii="time" w:hAnsi="time" w:cs="Times New Roman" w:hint="eastAsia"/>
          <w:szCs w:val="21"/>
        </w:rPr>
        <w:t>和</w:t>
      </w:r>
      <w:r>
        <w:rPr>
          <w:rFonts w:ascii="time" w:hAnsi="time" w:cs="Times New Roman" w:hint="eastAsia"/>
          <w:szCs w:val="21"/>
        </w:rPr>
        <w:t>10.61%</w:t>
      </w:r>
      <w:r>
        <w:rPr>
          <w:rFonts w:ascii="time" w:hAnsi="time" w:cs="Times New Roman" w:hint="eastAsia"/>
          <w:szCs w:val="21"/>
        </w:rPr>
        <w:t>。</w:t>
      </w:r>
    </w:p>
    <w:p w:rsidR="00603F28" w:rsidRDefault="00041260">
      <w:pPr>
        <w:jc w:val="left"/>
        <w:rPr>
          <w:rFonts w:ascii="time" w:hAnsi="time" w:cs="Times New Roman" w:hint="eastAsia"/>
          <w:szCs w:val="21"/>
        </w:rPr>
      </w:pPr>
      <w:r>
        <w:rPr>
          <w:noProof/>
        </w:rPr>
        <w:drawing>
          <wp:inline distT="0" distB="0" distL="0" distR="0">
            <wp:extent cx="5274310" cy="4323715"/>
            <wp:effectExtent l="0" t="0" r="2540" b="635"/>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3</w:t>
      </w:r>
      <w:r>
        <w:fldChar w:fldCharType="end"/>
      </w:r>
      <w:r>
        <w:t xml:space="preserve">  2018-2019</w:t>
      </w:r>
      <w:r>
        <w:rPr>
          <w:rFonts w:hint="eastAsia"/>
        </w:rPr>
        <w:t>届本科毕业生就业行业变化趋势</w:t>
      </w:r>
    </w:p>
    <w:p w:rsidR="00603F28" w:rsidRDefault="00041260">
      <w:pPr>
        <w:pStyle w:val="3"/>
      </w:pPr>
      <w:bookmarkStart w:id="144" w:name="_Toc27642682"/>
      <w:r>
        <w:rPr>
          <w:rFonts w:hint="eastAsia"/>
        </w:rPr>
        <w:t>（四）就业职位类型变化趋势</w:t>
      </w:r>
      <w:bookmarkEnd w:id="144"/>
    </w:p>
    <w:p w:rsidR="00603F28" w:rsidRDefault="00041260">
      <w:pPr>
        <w:ind w:firstLineChars="200" w:firstLine="420"/>
        <w:rPr>
          <w:rFonts w:cs="Times New Roman"/>
          <w:szCs w:val="21"/>
        </w:rPr>
      </w:pPr>
      <w:r>
        <w:rPr>
          <w:rFonts w:cs="Times New Roman" w:hint="eastAsia"/>
          <w:szCs w:val="21"/>
        </w:rPr>
        <w:t>从</w:t>
      </w:r>
      <w:r>
        <w:rPr>
          <w:rFonts w:cs="Times New Roman"/>
          <w:szCs w:val="21"/>
        </w:rPr>
        <w:t>2018</w:t>
      </w:r>
      <w:r>
        <w:rPr>
          <w:rFonts w:cs="Times New Roman" w:hint="eastAsia"/>
          <w:szCs w:val="21"/>
        </w:rPr>
        <w:t>-</w:t>
      </w:r>
      <w:r>
        <w:rPr>
          <w:rFonts w:cs="Times New Roman"/>
          <w:szCs w:val="21"/>
        </w:rPr>
        <w:t>2019</w:t>
      </w:r>
      <w:r>
        <w:rPr>
          <w:rFonts w:cs="Times New Roman" w:hint="eastAsia"/>
          <w:szCs w:val="21"/>
        </w:rPr>
        <w:t>届本科毕业生就业职位类型变化趋势来看，总体趋势保持稳定。</w:t>
      </w:r>
      <w:r>
        <w:rPr>
          <w:rFonts w:cs="Times New Roman" w:hint="eastAsia"/>
          <w:szCs w:val="21"/>
        </w:rPr>
        <w:t>2019</w:t>
      </w:r>
      <w:r>
        <w:rPr>
          <w:rFonts w:cs="Times New Roman" w:hint="eastAsia"/>
          <w:szCs w:val="21"/>
        </w:rPr>
        <w:t>届本科毕业生经济业务人员（</w:t>
      </w:r>
      <w:r>
        <w:rPr>
          <w:rFonts w:cs="Times New Roman"/>
          <w:szCs w:val="21"/>
        </w:rPr>
        <w:t>39.75</w:t>
      </w:r>
      <w:r>
        <w:rPr>
          <w:rFonts w:cs="Times New Roman" w:hint="eastAsia"/>
          <w:szCs w:val="21"/>
        </w:rPr>
        <w:t>%</w:t>
      </w:r>
      <w:r>
        <w:rPr>
          <w:rFonts w:cs="Times New Roman" w:hint="eastAsia"/>
          <w:szCs w:val="21"/>
        </w:rPr>
        <w:t>）商业和服务业人员的就业比例较</w:t>
      </w:r>
      <w:r>
        <w:rPr>
          <w:rFonts w:cs="Times New Roman" w:hint="eastAsia"/>
          <w:szCs w:val="21"/>
        </w:rPr>
        <w:t>2018</w:t>
      </w:r>
      <w:r>
        <w:rPr>
          <w:rFonts w:cs="Times New Roman" w:hint="eastAsia"/>
          <w:szCs w:val="21"/>
        </w:rPr>
        <w:t>届分别提升了</w:t>
      </w:r>
      <w:r>
        <w:rPr>
          <w:rFonts w:cs="Times New Roman"/>
          <w:szCs w:val="21"/>
        </w:rPr>
        <w:t>2.49</w:t>
      </w:r>
      <w:r>
        <w:rPr>
          <w:rFonts w:cs="Times New Roman" w:hint="eastAsia"/>
          <w:szCs w:val="21"/>
        </w:rPr>
        <w:t>%</w:t>
      </w:r>
      <w:r>
        <w:rPr>
          <w:rFonts w:cs="Times New Roman" w:hint="eastAsia"/>
          <w:szCs w:val="21"/>
        </w:rPr>
        <w:t>和</w:t>
      </w:r>
      <w:r>
        <w:rPr>
          <w:rFonts w:cs="Times New Roman" w:hint="eastAsia"/>
          <w:szCs w:val="21"/>
        </w:rPr>
        <w:t>3.17%</w:t>
      </w:r>
      <w:r>
        <w:rPr>
          <w:rFonts w:cs="Times New Roman" w:hint="eastAsia"/>
          <w:szCs w:val="21"/>
        </w:rPr>
        <w:t>。</w:t>
      </w:r>
    </w:p>
    <w:p w:rsidR="00603F28" w:rsidRDefault="00041260">
      <w:pPr>
        <w:jc w:val="center"/>
      </w:pPr>
      <w:r>
        <w:rPr>
          <w:noProof/>
        </w:rPr>
        <w:drawing>
          <wp:inline distT="0" distB="0" distL="0" distR="0">
            <wp:extent cx="5274310" cy="4323715"/>
            <wp:effectExtent l="0" t="0" r="2540" b="63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4</w:t>
      </w:r>
      <w:r>
        <w:fldChar w:fldCharType="end"/>
      </w:r>
      <w:r>
        <w:t xml:space="preserve">  2018-2019</w:t>
      </w:r>
      <w:r>
        <w:t>届</w:t>
      </w:r>
      <w:r>
        <w:rPr>
          <w:rFonts w:hint="eastAsia"/>
        </w:rPr>
        <w:t>本科毕业生就业职位类型变化趋势</w:t>
      </w:r>
    </w:p>
    <w:p w:rsidR="00603F28" w:rsidRDefault="00041260">
      <w:pPr>
        <w:pStyle w:val="3"/>
      </w:pPr>
      <w:bookmarkStart w:id="145" w:name="_Toc27642683"/>
      <w:r>
        <w:rPr>
          <w:rFonts w:hint="eastAsia"/>
        </w:rPr>
        <w:t>（五）平均薪资变化趋势</w:t>
      </w:r>
      <w:bookmarkEnd w:id="145"/>
    </w:p>
    <w:p w:rsidR="00603F28" w:rsidRDefault="00041260">
      <w:pPr>
        <w:ind w:firstLineChars="200" w:firstLine="420"/>
        <w:rPr>
          <w:rFonts w:cs="Times New Roman"/>
          <w:szCs w:val="21"/>
        </w:rPr>
      </w:pPr>
      <w:r>
        <w:rPr>
          <w:rFonts w:cs="Times New Roman"/>
          <w:szCs w:val="21"/>
        </w:rPr>
        <w:t>2017</w:t>
      </w:r>
      <w:r>
        <w:rPr>
          <w:rFonts w:cs="Times New Roman" w:hint="eastAsia"/>
          <w:szCs w:val="21"/>
        </w:rPr>
        <w:t>-</w:t>
      </w:r>
      <w:r>
        <w:rPr>
          <w:rFonts w:cs="Times New Roman"/>
          <w:szCs w:val="21"/>
        </w:rPr>
        <w:t>2019</w:t>
      </w:r>
      <w:r>
        <w:rPr>
          <w:rFonts w:cs="Times New Roman" w:hint="eastAsia"/>
          <w:szCs w:val="21"/>
        </w:rPr>
        <w:t>届本科毕业生平均薪资总体呈稳步上升趋势，</w:t>
      </w:r>
      <w:r>
        <w:rPr>
          <w:rFonts w:cs="Times New Roman" w:hint="eastAsia"/>
          <w:szCs w:val="21"/>
        </w:rPr>
        <w:t>2019</w:t>
      </w:r>
      <w:r>
        <w:rPr>
          <w:rFonts w:cs="Times New Roman" w:hint="eastAsia"/>
          <w:szCs w:val="21"/>
        </w:rPr>
        <w:t>届本科毕业生总体平均薪资为</w:t>
      </w:r>
      <w:r>
        <w:rPr>
          <w:rFonts w:cs="Times New Roman" w:hint="eastAsia"/>
          <w:szCs w:val="21"/>
        </w:rPr>
        <w:t>6288</w:t>
      </w:r>
      <w:r>
        <w:rPr>
          <w:rFonts w:cs="Times New Roman" w:hint="eastAsia"/>
          <w:szCs w:val="21"/>
        </w:rPr>
        <w:t>元，同比</w:t>
      </w:r>
      <w:r>
        <w:rPr>
          <w:rFonts w:cs="Times New Roman" w:hint="eastAsia"/>
          <w:szCs w:val="21"/>
        </w:rPr>
        <w:t>2018</w:t>
      </w:r>
      <w:r>
        <w:rPr>
          <w:rFonts w:cs="Times New Roman" w:hint="eastAsia"/>
          <w:szCs w:val="21"/>
        </w:rPr>
        <w:t>届毕业生上升</w:t>
      </w:r>
      <w:r>
        <w:rPr>
          <w:rFonts w:cs="Times New Roman" w:hint="eastAsia"/>
          <w:szCs w:val="21"/>
        </w:rPr>
        <w:t>1</w:t>
      </w:r>
      <w:r>
        <w:rPr>
          <w:rFonts w:cs="Times New Roman"/>
          <w:szCs w:val="21"/>
        </w:rPr>
        <w:t>3.81</w:t>
      </w:r>
      <w:r>
        <w:rPr>
          <w:rFonts w:cs="Times New Roman" w:hint="eastAsia"/>
          <w:szCs w:val="21"/>
        </w:rPr>
        <w:t>%</w:t>
      </w:r>
      <w:r>
        <w:rPr>
          <w:rFonts w:cs="Times New Roman" w:hint="eastAsia"/>
          <w:szCs w:val="21"/>
        </w:rPr>
        <w:t>。</w:t>
      </w:r>
    </w:p>
    <w:p w:rsidR="00603F28" w:rsidRDefault="00041260">
      <w:pPr>
        <w:keepNext/>
        <w:jc w:val="center"/>
      </w:pPr>
      <w:r>
        <w:rPr>
          <w:noProof/>
        </w:rPr>
        <w:drawing>
          <wp:inline distT="0" distB="0" distL="0" distR="0">
            <wp:extent cx="4307840" cy="2585085"/>
            <wp:effectExtent l="0" t="0" r="0" b="5715"/>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5</w:t>
      </w:r>
      <w:r>
        <w:fldChar w:fldCharType="end"/>
      </w:r>
      <w:r>
        <w:t xml:space="preserve">  2017-2019</w:t>
      </w:r>
      <w:r>
        <w:t>届本科毕业生平均</w:t>
      </w:r>
      <w:r>
        <w:rPr>
          <w:rFonts w:hint="eastAsia"/>
        </w:rPr>
        <w:t>薪资</w:t>
      </w:r>
      <w:r>
        <w:t>变化趋势</w:t>
      </w:r>
    </w:p>
    <w:p w:rsidR="00603F28" w:rsidRDefault="00041260">
      <w:pPr>
        <w:pStyle w:val="3"/>
      </w:pPr>
      <w:bookmarkStart w:id="146" w:name="_Toc27642684"/>
      <w:r>
        <w:rPr>
          <w:rFonts w:hint="eastAsia"/>
        </w:rPr>
        <w:t>（六）专业相关度变化趋势</w:t>
      </w:r>
      <w:bookmarkEnd w:id="146"/>
    </w:p>
    <w:p w:rsidR="00603F28" w:rsidRDefault="00041260">
      <w:pPr>
        <w:ind w:firstLineChars="200" w:firstLine="420"/>
        <w:rPr>
          <w:rFonts w:cs="Times New Roman"/>
          <w:szCs w:val="21"/>
        </w:rPr>
      </w:pPr>
      <w:r>
        <w:rPr>
          <w:rFonts w:cs="Times New Roman"/>
          <w:szCs w:val="21"/>
        </w:rPr>
        <w:t>2017</w:t>
      </w:r>
      <w:r>
        <w:rPr>
          <w:rFonts w:cs="Times New Roman" w:hint="eastAsia"/>
          <w:szCs w:val="21"/>
        </w:rPr>
        <w:t>-</w:t>
      </w:r>
      <w:r>
        <w:rPr>
          <w:rFonts w:cs="Times New Roman"/>
          <w:szCs w:val="21"/>
        </w:rPr>
        <w:t>2019</w:t>
      </w:r>
      <w:r>
        <w:rPr>
          <w:rFonts w:cs="Times New Roman" w:hint="eastAsia"/>
          <w:szCs w:val="21"/>
        </w:rPr>
        <w:t>届本科毕业生就业专业相关度变化总体趋势保持稳定，近三届毕业生就业平均专业相关度为</w:t>
      </w:r>
      <w:r>
        <w:rPr>
          <w:rFonts w:cs="Times New Roman" w:hint="eastAsia"/>
          <w:szCs w:val="21"/>
        </w:rPr>
        <w:t>68.97%</w:t>
      </w:r>
      <w:r>
        <w:rPr>
          <w:rFonts w:cs="Times New Roman" w:hint="eastAsia"/>
          <w:szCs w:val="21"/>
        </w:rPr>
        <w:t>。</w:t>
      </w:r>
    </w:p>
    <w:p w:rsidR="00603F28" w:rsidRDefault="00041260">
      <w:pPr>
        <w:keepNext/>
        <w:jc w:val="center"/>
      </w:pPr>
      <w:r>
        <w:rPr>
          <w:noProof/>
        </w:rPr>
        <w:drawing>
          <wp:inline distT="0" distB="0" distL="0" distR="0">
            <wp:extent cx="4225925" cy="2535555"/>
            <wp:effectExtent l="0" t="0" r="3175" b="0"/>
            <wp:docPr id="44" name="图表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603F28" w:rsidRDefault="00041260">
      <w:pPr>
        <w:pStyle w:val="a3"/>
      </w:pPr>
      <w:r>
        <w:rPr>
          <w:rFonts w:hint="eastAsia"/>
        </w:rPr>
        <w:t>图</w:t>
      </w:r>
      <w:r>
        <w:t>8</w:t>
      </w:r>
      <w:r>
        <w:rPr>
          <w:rFonts w:hint="eastAsia"/>
        </w:rPr>
        <w:t>-</w:t>
      </w:r>
      <w:r>
        <w:fldChar w:fldCharType="begin"/>
      </w:r>
      <w:r>
        <w:rPr>
          <w:rFonts w:hint="eastAsia"/>
        </w:rPr>
        <w:instrText xml:space="preserve">SEQ </w:instrText>
      </w:r>
      <w:r>
        <w:rPr>
          <w:rFonts w:hint="eastAsia"/>
        </w:rPr>
        <w:instrText>图</w:instrText>
      </w:r>
      <w:r>
        <w:rPr>
          <w:rFonts w:hint="eastAsia"/>
        </w:rPr>
        <w:instrText>5- \* ARABIC</w:instrText>
      </w:r>
      <w:r>
        <w:fldChar w:fldCharType="separate"/>
      </w:r>
      <w:r>
        <w:t>6</w:t>
      </w:r>
      <w:r>
        <w:fldChar w:fldCharType="end"/>
      </w:r>
      <w:r>
        <w:t xml:space="preserve">  2017-2019</w:t>
      </w:r>
      <w:r>
        <w:t>届本科毕业生专业相关度变化趋势</w:t>
      </w:r>
    </w:p>
    <w:p w:rsidR="00603F28" w:rsidRDefault="00041260">
      <w:pPr>
        <w:pStyle w:val="2"/>
      </w:pPr>
      <w:bookmarkStart w:id="147" w:name="_Toc27642685"/>
      <w:r>
        <w:rPr>
          <w:rFonts w:hint="eastAsia"/>
        </w:rPr>
        <w:t>二、</w:t>
      </w:r>
      <w:r>
        <w:rPr>
          <w:rFonts w:hint="eastAsia"/>
        </w:rPr>
        <w:t>2020</w:t>
      </w:r>
      <w:r>
        <w:rPr>
          <w:rFonts w:hint="eastAsia"/>
        </w:rPr>
        <w:t>届毕业生就业形势研判</w:t>
      </w:r>
      <w:bookmarkEnd w:id="147"/>
    </w:p>
    <w:p w:rsidR="00603F28" w:rsidRDefault="00041260">
      <w:pPr>
        <w:tabs>
          <w:tab w:val="right" w:pos="8730"/>
        </w:tabs>
        <w:spacing w:line="560" w:lineRule="exact"/>
        <w:ind w:firstLineChars="200" w:firstLine="422"/>
        <w:rPr>
          <w:rFonts w:ascii="宋体" w:hAnsi="宋体" w:cs="仿宋_GB2312"/>
          <w:color w:val="000000"/>
          <w:kern w:val="0"/>
          <w:szCs w:val="21"/>
        </w:rPr>
      </w:pPr>
      <w:r>
        <w:rPr>
          <w:rFonts w:ascii="宋体" w:hAnsi="宋体" w:cs="仿宋_GB2312" w:hint="eastAsia"/>
          <w:b/>
          <w:color w:val="000000"/>
          <w:kern w:val="0"/>
          <w:szCs w:val="21"/>
        </w:rPr>
        <w:t>（一）毕业生总人数体量巨大。</w:t>
      </w:r>
      <w:r>
        <w:rPr>
          <w:rFonts w:ascii="宋体" w:hAnsi="宋体" w:cs="仿宋_GB2312" w:hint="eastAsia"/>
          <w:color w:val="000000"/>
          <w:kern w:val="0"/>
          <w:szCs w:val="21"/>
        </w:rPr>
        <w:t>据教育部相关数据显示，</w:t>
      </w:r>
      <w:r>
        <w:rPr>
          <w:rFonts w:ascii="宋体" w:hAnsi="宋体" w:cs="仿宋_GB2312" w:hint="eastAsia"/>
          <w:color w:val="000000"/>
          <w:kern w:val="0"/>
          <w:szCs w:val="21"/>
        </w:rPr>
        <w:t>2020</w:t>
      </w:r>
      <w:r>
        <w:rPr>
          <w:rFonts w:ascii="宋体" w:hAnsi="宋体" w:cs="仿宋_GB2312" w:hint="eastAsia"/>
          <w:color w:val="000000"/>
          <w:kern w:val="0"/>
          <w:szCs w:val="21"/>
        </w:rPr>
        <w:t>届全国高校毕业生规模预计将达到</w:t>
      </w:r>
      <w:r>
        <w:rPr>
          <w:rFonts w:ascii="宋体" w:hAnsi="宋体" w:cs="仿宋_GB2312" w:hint="eastAsia"/>
          <w:color w:val="000000"/>
          <w:kern w:val="0"/>
          <w:szCs w:val="21"/>
        </w:rPr>
        <w:t>874</w:t>
      </w:r>
      <w:r>
        <w:rPr>
          <w:rFonts w:ascii="宋体" w:hAnsi="宋体" w:cs="仿宋_GB2312" w:hint="eastAsia"/>
          <w:color w:val="000000"/>
          <w:kern w:val="0"/>
          <w:szCs w:val="21"/>
        </w:rPr>
        <w:t>万人，较</w:t>
      </w:r>
      <w:r>
        <w:rPr>
          <w:rFonts w:ascii="宋体" w:hAnsi="宋体" w:cs="仿宋_GB2312" w:hint="eastAsia"/>
          <w:color w:val="000000"/>
          <w:kern w:val="0"/>
          <w:szCs w:val="21"/>
        </w:rPr>
        <w:t>2019</w:t>
      </w:r>
      <w:r>
        <w:rPr>
          <w:rFonts w:ascii="宋体" w:hAnsi="宋体" w:cs="仿宋_GB2312" w:hint="eastAsia"/>
          <w:color w:val="000000"/>
          <w:kern w:val="0"/>
          <w:szCs w:val="21"/>
        </w:rPr>
        <w:t>年同比增加</w:t>
      </w:r>
      <w:r>
        <w:rPr>
          <w:rFonts w:ascii="宋体" w:hAnsi="宋体" w:cs="仿宋_GB2312" w:hint="eastAsia"/>
          <w:color w:val="000000"/>
          <w:kern w:val="0"/>
          <w:szCs w:val="21"/>
        </w:rPr>
        <w:t>40</w:t>
      </w:r>
      <w:r>
        <w:rPr>
          <w:rFonts w:ascii="宋体" w:hAnsi="宋体" w:cs="仿宋_GB2312" w:hint="eastAsia"/>
          <w:color w:val="000000"/>
          <w:kern w:val="0"/>
          <w:szCs w:val="21"/>
        </w:rPr>
        <w:t>万；江西省</w:t>
      </w:r>
      <w:r>
        <w:rPr>
          <w:rFonts w:ascii="宋体" w:hAnsi="宋体" w:cs="仿宋_GB2312" w:hint="eastAsia"/>
          <w:color w:val="000000"/>
          <w:kern w:val="0"/>
          <w:szCs w:val="21"/>
        </w:rPr>
        <w:t>2020</w:t>
      </w:r>
      <w:r>
        <w:rPr>
          <w:rFonts w:ascii="宋体" w:hAnsi="宋体" w:cs="仿宋_GB2312" w:hint="eastAsia"/>
          <w:color w:val="000000"/>
          <w:kern w:val="0"/>
          <w:szCs w:val="21"/>
        </w:rPr>
        <w:t>届高校毕业生总数达</w:t>
      </w:r>
      <w:r>
        <w:rPr>
          <w:rFonts w:ascii="宋体" w:hAnsi="宋体" w:cs="仿宋_GB2312" w:hint="eastAsia"/>
          <w:color w:val="000000"/>
          <w:kern w:val="0"/>
          <w:szCs w:val="21"/>
        </w:rPr>
        <w:t>32.4</w:t>
      </w:r>
      <w:r>
        <w:rPr>
          <w:rFonts w:ascii="宋体" w:hAnsi="宋体" w:cs="仿宋_GB2312" w:hint="eastAsia"/>
          <w:color w:val="000000"/>
          <w:kern w:val="0"/>
          <w:szCs w:val="21"/>
        </w:rPr>
        <w:t>万，比</w:t>
      </w:r>
      <w:r>
        <w:rPr>
          <w:rFonts w:ascii="宋体" w:hAnsi="宋体" w:cs="仿宋_GB2312" w:hint="eastAsia"/>
          <w:color w:val="000000"/>
          <w:kern w:val="0"/>
          <w:szCs w:val="21"/>
        </w:rPr>
        <w:t>2019</w:t>
      </w:r>
      <w:r>
        <w:rPr>
          <w:rFonts w:ascii="宋体" w:hAnsi="宋体" w:cs="仿宋_GB2312" w:hint="eastAsia"/>
          <w:color w:val="000000"/>
          <w:kern w:val="0"/>
          <w:szCs w:val="21"/>
        </w:rPr>
        <w:t>届多</w:t>
      </w:r>
      <w:r>
        <w:rPr>
          <w:rFonts w:ascii="宋体" w:hAnsi="宋体" w:cs="仿宋_GB2312" w:hint="eastAsia"/>
          <w:color w:val="000000"/>
          <w:kern w:val="0"/>
          <w:szCs w:val="21"/>
        </w:rPr>
        <w:t>1.1</w:t>
      </w:r>
      <w:r>
        <w:rPr>
          <w:rFonts w:ascii="宋体" w:hAnsi="宋体" w:cs="仿宋_GB2312" w:hint="eastAsia"/>
          <w:color w:val="000000"/>
          <w:kern w:val="0"/>
          <w:szCs w:val="21"/>
        </w:rPr>
        <w:t>万人；我校</w:t>
      </w:r>
      <w:r>
        <w:rPr>
          <w:rFonts w:ascii="宋体" w:hAnsi="宋体" w:cs="仿宋_GB2312" w:hint="eastAsia"/>
          <w:color w:val="000000"/>
          <w:kern w:val="0"/>
          <w:szCs w:val="21"/>
        </w:rPr>
        <w:t>2020</w:t>
      </w:r>
      <w:r>
        <w:rPr>
          <w:rFonts w:ascii="宋体" w:hAnsi="宋体" w:cs="仿宋_GB2312" w:hint="eastAsia"/>
          <w:color w:val="000000"/>
          <w:kern w:val="0"/>
          <w:szCs w:val="21"/>
        </w:rPr>
        <w:t>届毕业生</w:t>
      </w:r>
      <w:r>
        <w:rPr>
          <w:rFonts w:ascii="宋体" w:hAnsi="宋体" w:cs="仿宋_GB2312" w:hint="eastAsia"/>
          <w:color w:val="000000"/>
          <w:kern w:val="0"/>
          <w:szCs w:val="21"/>
        </w:rPr>
        <w:t>7264</w:t>
      </w:r>
      <w:r>
        <w:rPr>
          <w:rFonts w:ascii="宋体" w:hAnsi="宋体" w:cs="仿宋_GB2312" w:hint="eastAsia"/>
          <w:color w:val="000000"/>
          <w:kern w:val="0"/>
          <w:szCs w:val="21"/>
        </w:rPr>
        <w:t>人，比</w:t>
      </w:r>
      <w:r>
        <w:rPr>
          <w:rFonts w:ascii="宋体" w:hAnsi="宋体" w:cs="仿宋_GB2312" w:hint="eastAsia"/>
          <w:color w:val="000000"/>
          <w:kern w:val="0"/>
          <w:szCs w:val="21"/>
        </w:rPr>
        <w:t>2019</w:t>
      </w:r>
      <w:r>
        <w:rPr>
          <w:rFonts w:ascii="宋体" w:hAnsi="宋体" w:cs="仿宋_GB2312" w:hint="eastAsia"/>
          <w:color w:val="000000"/>
          <w:kern w:val="0"/>
          <w:szCs w:val="21"/>
        </w:rPr>
        <w:t>届</w:t>
      </w:r>
      <w:r>
        <w:rPr>
          <w:rFonts w:ascii="宋体" w:hAnsi="宋体" w:cs="仿宋_GB2312" w:hint="eastAsia"/>
          <w:color w:val="000000"/>
          <w:kern w:val="0"/>
          <w:szCs w:val="21"/>
        </w:rPr>
        <w:t>6556</w:t>
      </w:r>
      <w:r>
        <w:rPr>
          <w:rFonts w:ascii="宋体" w:hAnsi="宋体" w:cs="仿宋_GB2312" w:hint="eastAsia"/>
          <w:color w:val="000000"/>
          <w:kern w:val="0"/>
          <w:szCs w:val="21"/>
        </w:rPr>
        <w:t>人增加</w:t>
      </w:r>
      <w:r>
        <w:rPr>
          <w:rFonts w:ascii="宋体" w:hAnsi="宋体" w:cs="仿宋_GB2312" w:hint="eastAsia"/>
          <w:color w:val="000000"/>
          <w:kern w:val="0"/>
          <w:szCs w:val="21"/>
        </w:rPr>
        <w:t>708</w:t>
      </w:r>
      <w:r>
        <w:rPr>
          <w:rFonts w:ascii="宋体" w:hAnsi="宋体" w:cs="仿宋_GB2312" w:hint="eastAsia"/>
          <w:color w:val="000000"/>
          <w:kern w:val="0"/>
          <w:szCs w:val="21"/>
        </w:rPr>
        <w:t>人，其中普通本科毕业生增加</w:t>
      </w:r>
      <w:r>
        <w:rPr>
          <w:rFonts w:ascii="宋体" w:hAnsi="宋体" w:cs="仿宋_GB2312" w:hint="eastAsia"/>
          <w:color w:val="000000"/>
          <w:kern w:val="0"/>
          <w:szCs w:val="21"/>
        </w:rPr>
        <w:t>258</w:t>
      </w:r>
      <w:r>
        <w:rPr>
          <w:rFonts w:ascii="宋体" w:hAnsi="宋体" w:cs="仿宋_GB2312" w:hint="eastAsia"/>
          <w:color w:val="000000"/>
          <w:kern w:val="0"/>
          <w:szCs w:val="21"/>
        </w:rPr>
        <w:t>人。庞大的毕业生人数使就业工作整体压力不减。</w:t>
      </w:r>
    </w:p>
    <w:p w:rsidR="00603F28" w:rsidRDefault="00041260">
      <w:pPr>
        <w:tabs>
          <w:tab w:val="right" w:pos="8730"/>
        </w:tabs>
        <w:spacing w:line="560" w:lineRule="exact"/>
        <w:ind w:firstLineChars="200" w:firstLine="422"/>
        <w:rPr>
          <w:rFonts w:ascii="宋体" w:hAnsi="宋体" w:cs="仿宋_GB2312"/>
          <w:color w:val="000000"/>
          <w:kern w:val="0"/>
          <w:szCs w:val="21"/>
        </w:rPr>
      </w:pPr>
      <w:r>
        <w:rPr>
          <w:rFonts w:ascii="宋体" w:hAnsi="宋体" w:cs="仿宋_GB2312" w:hint="eastAsia"/>
          <w:b/>
          <w:color w:val="000000"/>
          <w:kern w:val="0"/>
          <w:szCs w:val="21"/>
        </w:rPr>
        <w:t>（二）就业市场供求结构矛盾。</w:t>
      </w:r>
      <w:r>
        <w:rPr>
          <w:rFonts w:ascii="宋体" w:hAnsi="宋体" w:cs="仿宋_GB2312" w:hint="eastAsia"/>
          <w:color w:val="000000"/>
          <w:kern w:val="0"/>
          <w:szCs w:val="21"/>
        </w:rPr>
        <w:t>整体经济形势下滑，用人单位开启的校招岗位数量有一定减少；而另一方面高考录取人数和考研录取人数逐年增加。加上部分高校人才培养与社会需求不匹配，部分专业、部分毕业生不适应经济社</w:t>
      </w:r>
      <w:r>
        <w:rPr>
          <w:rFonts w:ascii="宋体" w:hAnsi="宋体" w:cs="仿宋_GB2312" w:hint="eastAsia"/>
          <w:color w:val="000000"/>
          <w:kern w:val="0"/>
          <w:szCs w:val="21"/>
        </w:rPr>
        <w:t>会发展需要。</w:t>
      </w:r>
      <w:r>
        <w:rPr>
          <w:rFonts w:ascii="宋体" w:hAnsi="宋体" w:cs="仿宋_GB2312" w:hint="eastAsia"/>
          <w:bCs/>
          <w:color w:val="000000"/>
          <w:kern w:val="0"/>
          <w:szCs w:val="21"/>
        </w:rPr>
        <w:t>企业招聘需求趋少，高校毕业生人数增加</w:t>
      </w:r>
      <w:r>
        <w:rPr>
          <w:rFonts w:ascii="宋体" w:hAnsi="宋体" w:cs="仿宋_GB2312" w:hint="eastAsia"/>
          <w:color w:val="000000"/>
          <w:kern w:val="0"/>
          <w:szCs w:val="21"/>
        </w:rPr>
        <w:t>，这种不平衡的供需结构矛盾关系，也导致了近两年校园招聘的严峻形势。</w:t>
      </w:r>
    </w:p>
    <w:p w:rsidR="00603F28" w:rsidRDefault="00041260">
      <w:pPr>
        <w:spacing w:line="560" w:lineRule="exact"/>
        <w:ind w:firstLine="630"/>
        <w:rPr>
          <w:rFonts w:ascii="宋体" w:hAnsi="宋体" w:cs="仿宋_GB2312"/>
          <w:kern w:val="0"/>
          <w:szCs w:val="21"/>
        </w:rPr>
      </w:pPr>
      <w:r>
        <w:rPr>
          <w:rFonts w:ascii="宋体" w:hAnsi="宋体" w:cs="仿宋_GB2312" w:hint="eastAsia"/>
          <w:b/>
          <w:color w:val="000000"/>
          <w:szCs w:val="21"/>
        </w:rPr>
        <w:t>（三）财经类专业就业优势减弱。</w:t>
      </w:r>
      <w:r>
        <w:rPr>
          <w:rFonts w:ascii="宋体" w:hAnsi="宋体" w:cs="仿宋_GB2312" w:hint="eastAsia"/>
          <w:color w:val="000000"/>
          <w:szCs w:val="21"/>
        </w:rPr>
        <w:t>就业市场上，随着近几年经济增长放缓，银行，证券等金融相关行业红利期逐渐退去，财经类高校毕业生出路不比往年。</w:t>
      </w:r>
      <w:r>
        <w:rPr>
          <w:rFonts w:ascii="宋体" w:hAnsi="宋体" w:cs="仿宋_GB2312" w:hint="eastAsia"/>
          <w:bCs/>
          <w:color w:val="000000"/>
          <w:szCs w:val="21"/>
        </w:rPr>
        <w:t>一是财经类专业学生高质量就业竞争加剧，难度加大。</w:t>
      </w:r>
      <w:r>
        <w:rPr>
          <w:rFonts w:ascii="宋体" w:hAnsi="宋体" w:cs="仿宋_GB2312" w:hint="eastAsia"/>
          <w:color w:val="000000"/>
          <w:szCs w:val="21"/>
        </w:rPr>
        <w:t>单纯的某一财经类专业已不具优势，部分低端财经类岗位有被机器替代趋势。</w:t>
      </w:r>
      <w:r>
        <w:rPr>
          <w:rFonts w:ascii="宋体" w:hAnsi="宋体" w:cs="仿宋_GB2312" w:hint="eastAsia"/>
          <w:bCs/>
          <w:color w:val="000000"/>
          <w:szCs w:val="21"/>
        </w:rPr>
        <w:t>二是</w:t>
      </w:r>
      <w:r>
        <w:rPr>
          <w:rFonts w:ascii="宋体" w:hAnsi="宋体" w:cs="仿宋_GB2312" w:hint="eastAsia"/>
          <w:bCs/>
          <w:kern w:val="0"/>
          <w:szCs w:val="21"/>
        </w:rPr>
        <w:t>优势专业的就业优势减弱。</w:t>
      </w:r>
      <w:r>
        <w:rPr>
          <w:rFonts w:ascii="宋体" w:hAnsi="宋体" w:cs="仿宋_GB2312" w:hint="eastAsia"/>
          <w:kern w:val="0"/>
          <w:szCs w:val="21"/>
        </w:rPr>
        <w:t>据《关于印发</w:t>
      </w:r>
      <w:r>
        <w:rPr>
          <w:rFonts w:ascii="宋体" w:hAnsi="宋体" w:cs="仿宋_GB2312" w:hint="eastAsia"/>
          <w:kern w:val="0"/>
          <w:szCs w:val="21"/>
        </w:rPr>
        <w:t>2019</w:t>
      </w:r>
      <w:r>
        <w:rPr>
          <w:rFonts w:ascii="宋体" w:hAnsi="宋体" w:cs="仿宋_GB2312" w:hint="eastAsia"/>
          <w:kern w:val="0"/>
          <w:szCs w:val="21"/>
        </w:rPr>
        <w:t>届全省普通高校毕业生就业状况统计情况通报的通知》（赣教就字〔</w:t>
      </w:r>
      <w:r>
        <w:rPr>
          <w:rFonts w:ascii="宋体" w:hAnsi="宋体" w:cs="仿宋_GB2312" w:hint="eastAsia"/>
          <w:kern w:val="0"/>
          <w:szCs w:val="21"/>
        </w:rPr>
        <w:t>2019</w:t>
      </w:r>
      <w:r>
        <w:rPr>
          <w:rFonts w:ascii="宋体" w:hAnsi="宋体" w:cs="仿宋_GB2312" w:hint="eastAsia"/>
          <w:kern w:val="0"/>
          <w:szCs w:val="21"/>
        </w:rPr>
        <w:t>〕</w:t>
      </w:r>
      <w:r>
        <w:rPr>
          <w:rFonts w:ascii="宋体" w:hAnsi="宋体" w:cs="仿宋_GB2312" w:hint="eastAsia"/>
          <w:kern w:val="0"/>
          <w:szCs w:val="21"/>
        </w:rPr>
        <w:t>7</w:t>
      </w:r>
      <w:r>
        <w:rPr>
          <w:rFonts w:ascii="宋体" w:hAnsi="宋体" w:cs="仿宋_GB2312" w:hint="eastAsia"/>
          <w:kern w:val="0"/>
          <w:szCs w:val="21"/>
        </w:rPr>
        <w:t>号）统计，全省</w:t>
      </w:r>
      <w:r>
        <w:rPr>
          <w:rFonts w:ascii="宋体" w:hAnsi="宋体" w:cs="仿宋_GB2312" w:hint="eastAsia"/>
          <w:kern w:val="0"/>
          <w:szCs w:val="21"/>
        </w:rPr>
        <w:t>2019</w:t>
      </w:r>
      <w:r>
        <w:rPr>
          <w:rFonts w:ascii="宋体" w:hAnsi="宋体" w:cs="仿宋_GB2312" w:hint="eastAsia"/>
          <w:kern w:val="0"/>
          <w:szCs w:val="21"/>
        </w:rPr>
        <w:t>届就业率前十的本科专业我校无一个专业上榜，从近年来就业市场走访情况看，目前财经类人才已不是目前紧缺、急需的专业人才。</w:t>
      </w:r>
    </w:p>
    <w:p w:rsidR="00603F28" w:rsidRDefault="00041260">
      <w:pPr>
        <w:spacing w:line="560" w:lineRule="exact"/>
        <w:ind w:firstLine="630"/>
        <w:rPr>
          <w:rFonts w:ascii="宋体" w:hAnsi="宋体" w:cs="仿宋_GB2312"/>
          <w:kern w:val="0"/>
          <w:szCs w:val="21"/>
        </w:rPr>
      </w:pPr>
      <w:r>
        <w:rPr>
          <w:rFonts w:ascii="宋体" w:hAnsi="宋体" w:cs="仿宋_GB2312" w:hint="eastAsia"/>
          <w:b/>
          <w:bCs/>
          <w:kern w:val="0"/>
          <w:szCs w:val="21"/>
        </w:rPr>
        <w:t>（四）慢就业、不就业和考研“二战”等现象明显增多。</w:t>
      </w:r>
      <w:r>
        <w:rPr>
          <w:rFonts w:ascii="宋体" w:hAnsi="宋体" w:cs="仿宋_GB2312" w:hint="eastAsia"/>
          <w:bCs/>
          <w:kern w:val="0"/>
          <w:szCs w:val="21"/>
        </w:rPr>
        <w:t>一是毕业生群体中“慢就业”、“不就业”的毕业生或现象越来越多，并趋于明显化。</w:t>
      </w:r>
      <w:r>
        <w:rPr>
          <w:rFonts w:ascii="宋体" w:hAnsi="宋体" w:cs="仿宋_GB2312" w:hint="eastAsia"/>
          <w:kern w:val="0"/>
          <w:szCs w:val="21"/>
        </w:rPr>
        <w:t>当今毕业生就业已不仅为满足生活需求和安全需求，更加注重能够体现自身价值、促进个人全面发展的职业。因为求得满意工作岗位而不急于找工作，导致“慢就业”或暂“不</w:t>
      </w:r>
      <w:r>
        <w:rPr>
          <w:rFonts w:ascii="宋体" w:hAnsi="宋体" w:cs="仿宋_GB2312" w:hint="eastAsia"/>
          <w:kern w:val="0"/>
          <w:szCs w:val="21"/>
        </w:rPr>
        <w:t>就业”；</w:t>
      </w:r>
      <w:r>
        <w:rPr>
          <w:rFonts w:ascii="宋体" w:hAnsi="宋体" w:cs="仿宋_GB2312" w:hint="eastAsia"/>
          <w:bCs/>
          <w:kern w:val="0"/>
          <w:szCs w:val="21"/>
        </w:rPr>
        <w:t>二是毕业生和学生家长越来越热衷于考研。</w:t>
      </w:r>
      <w:r>
        <w:rPr>
          <w:rFonts w:ascii="宋体" w:hAnsi="宋体" w:cs="仿宋_GB2312" w:hint="eastAsia"/>
          <w:kern w:val="0"/>
          <w:szCs w:val="21"/>
        </w:rPr>
        <w:t>考研“二战”甚至“三战”的毕业生人数增加，很多学生希望通过考研提升学历层次、提高毕业院校层次，期望在未来求职中处于更优势地位。</w:t>
      </w:r>
      <w:r>
        <w:rPr>
          <w:rFonts w:ascii="宋体" w:hAnsi="宋体" w:cs="仿宋_GB2312" w:hint="eastAsia"/>
          <w:color w:val="000000"/>
          <w:kern w:val="0"/>
          <w:szCs w:val="21"/>
        </w:rPr>
        <w:t>据有关数据显示，</w:t>
      </w:r>
      <w:r>
        <w:rPr>
          <w:rFonts w:ascii="宋体" w:hAnsi="宋体" w:cs="仿宋_GB2312" w:hint="eastAsia"/>
          <w:color w:val="000000"/>
          <w:kern w:val="0"/>
          <w:szCs w:val="21"/>
        </w:rPr>
        <w:t>2020</w:t>
      </w:r>
      <w:r>
        <w:rPr>
          <w:rFonts w:ascii="宋体" w:hAnsi="宋体" w:cs="仿宋_GB2312" w:hint="eastAsia"/>
          <w:color w:val="000000"/>
          <w:kern w:val="0"/>
          <w:szCs w:val="21"/>
        </w:rPr>
        <w:t>年全国硕士研究生报考人数将达</w:t>
      </w:r>
      <w:r>
        <w:rPr>
          <w:rFonts w:ascii="宋体" w:hAnsi="宋体" w:cs="仿宋_GB2312" w:hint="eastAsia"/>
          <w:color w:val="000000"/>
          <w:kern w:val="0"/>
          <w:szCs w:val="21"/>
        </w:rPr>
        <w:t>340</w:t>
      </w:r>
      <w:r>
        <w:rPr>
          <w:rFonts w:ascii="宋体" w:hAnsi="宋体" w:cs="仿宋_GB2312" w:hint="eastAsia"/>
          <w:color w:val="000000"/>
          <w:kern w:val="0"/>
          <w:szCs w:val="21"/>
        </w:rPr>
        <w:t>万，在</w:t>
      </w:r>
      <w:r>
        <w:rPr>
          <w:rFonts w:ascii="宋体" w:hAnsi="宋体" w:cs="仿宋_GB2312" w:hint="eastAsia"/>
          <w:color w:val="000000"/>
          <w:kern w:val="0"/>
          <w:szCs w:val="21"/>
        </w:rPr>
        <w:t>2019</w:t>
      </w:r>
      <w:r>
        <w:rPr>
          <w:rFonts w:ascii="宋体" w:hAnsi="宋体" w:cs="仿宋_GB2312" w:hint="eastAsia"/>
          <w:color w:val="000000"/>
          <w:kern w:val="0"/>
          <w:szCs w:val="21"/>
        </w:rPr>
        <w:t>年的</w:t>
      </w:r>
      <w:r>
        <w:rPr>
          <w:rFonts w:ascii="宋体" w:hAnsi="宋体" w:cs="仿宋_GB2312" w:hint="eastAsia"/>
          <w:color w:val="000000"/>
          <w:kern w:val="0"/>
          <w:szCs w:val="21"/>
        </w:rPr>
        <w:t>290</w:t>
      </w:r>
      <w:r>
        <w:rPr>
          <w:rFonts w:ascii="宋体" w:hAnsi="宋体" w:cs="仿宋_GB2312" w:hint="eastAsia"/>
          <w:color w:val="000000"/>
          <w:kern w:val="0"/>
          <w:szCs w:val="21"/>
        </w:rPr>
        <w:t>万基础上将增加</w:t>
      </w:r>
      <w:r>
        <w:rPr>
          <w:rFonts w:ascii="宋体" w:hAnsi="宋体" w:cs="仿宋_GB2312" w:hint="eastAsia"/>
          <w:color w:val="000000"/>
          <w:kern w:val="0"/>
          <w:szCs w:val="21"/>
        </w:rPr>
        <w:t>50</w:t>
      </w:r>
      <w:r>
        <w:rPr>
          <w:rFonts w:ascii="宋体" w:hAnsi="宋体" w:cs="仿宋_GB2312" w:hint="eastAsia"/>
          <w:color w:val="000000"/>
          <w:kern w:val="0"/>
          <w:szCs w:val="21"/>
        </w:rPr>
        <w:t>万，其中往届生将超过</w:t>
      </w:r>
      <w:r>
        <w:rPr>
          <w:rFonts w:ascii="宋体" w:hAnsi="宋体" w:cs="仿宋_GB2312" w:hint="eastAsia"/>
          <w:color w:val="000000"/>
          <w:kern w:val="0"/>
          <w:szCs w:val="21"/>
        </w:rPr>
        <w:t>45%</w:t>
      </w:r>
      <w:r>
        <w:rPr>
          <w:rFonts w:ascii="宋体" w:hAnsi="宋体" w:cs="仿宋_GB2312" w:hint="eastAsia"/>
          <w:color w:val="000000"/>
          <w:kern w:val="0"/>
          <w:szCs w:val="21"/>
        </w:rPr>
        <w:t>；我校</w:t>
      </w:r>
      <w:r>
        <w:rPr>
          <w:rFonts w:ascii="宋体" w:hAnsi="宋体" w:cs="仿宋_GB2312" w:hint="eastAsia"/>
          <w:color w:val="000000"/>
          <w:kern w:val="0"/>
          <w:szCs w:val="21"/>
        </w:rPr>
        <w:t>2020</w:t>
      </w:r>
      <w:r>
        <w:rPr>
          <w:rFonts w:ascii="宋体" w:hAnsi="宋体" w:cs="仿宋_GB2312" w:hint="eastAsia"/>
          <w:color w:val="000000"/>
          <w:kern w:val="0"/>
          <w:szCs w:val="21"/>
        </w:rPr>
        <w:t>年研究生报考人数为</w:t>
      </w:r>
      <w:r>
        <w:rPr>
          <w:rFonts w:ascii="宋体" w:hAnsi="宋体" w:cs="仿宋_GB2312" w:hint="eastAsia"/>
          <w:color w:val="000000"/>
          <w:kern w:val="0"/>
          <w:szCs w:val="21"/>
        </w:rPr>
        <w:t>2821</w:t>
      </w:r>
      <w:r>
        <w:rPr>
          <w:rFonts w:ascii="宋体" w:hAnsi="宋体" w:cs="仿宋_GB2312" w:hint="eastAsia"/>
          <w:color w:val="000000"/>
          <w:kern w:val="0"/>
          <w:szCs w:val="21"/>
        </w:rPr>
        <w:t>人，占毕业生数的</w:t>
      </w:r>
      <w:r>
        <w:rPr>
          <w:rFonts w:ascii="宋体" w:hAnsi="宋体" w:cs="仿宋_GB2312" w:hint="eastAsia"/>
          <w:color w:val="000000"/>
          <w:kern w:val="0"/>
          <w:szCs w:val="21"/>
        </w:rPr>
        <w:t>52.32%</w:t>
      </w:r>
      <w:r>
        <w:rPr>
          <w:rFonts w:ascii="宋体" w:hAnsi="宋体" w:cs="仿宋_GB2312" w:hint="eastAsia"/>
          <w:color w:val="000000"/>
          <w:kern w:val="0"/>
          <w:szCs w:val="21"/>
        </w:rPr>
        <w:t>。</w:t>
      </w:r>
    </w:p>
    <w:p w:rsidR="00603F28" w:rsidRDefault="00041260">
      <w:pPr>
        <w:tabs>
          <w:tab w:val="right" w:pos="8730"/>
        </w:tabs>
        <w:spacing w:line="560" w:lineRule="exact"/>
        <w:ind w:firstLineChars="200" w:firstLine="422"/>
        <w:rPr>
          <w:rFonts w:ascii="宋体" w:hAnsi="宋体" w:cs="仿宋_GB2312"/>
          <w:color w:val="000000"/>
          <w:kern w:val="0"/>
          <w:szCs w:val="21"/>
        </w:rPr>
      </w:pPr>
      <w:r>
        <w:rPr>
          <w:rFonts w:ascii="宋体" w:hAnsi="宋体" w:cs="仿宋_GB2312" w:hint="eastAsia"/>
          <w:b/>
          <w:color w:val="000000"/>
          <w:kern w:val="0"/>
          <w:szCs w:val="21"/>
        </w:rPr>
        <w:t>（五）整体就业压力进一步增大。</w:t>
      </w:r>
      <w:r>
        <w:rPr>
          <w:rFonts w:ascii="宋体" w:hAnsi="宋体" w:cs="仿宋_GB2312" w:hint="eastAsia"/>
          <w:color w:val="000000"/>
          <w:kern w:val="0"/>
          <w:szCs w:val="21"/>
        </w:rPr>
        <w:t>当前和今后一段时期，受产业结构转型升级，以及国际国内各种不确定不稳定因素增加；以及由此导致的企业用工需求、就业环</w:t>
      </w:r>
      <w:r>
        <w:rPr>
          <w:rFonts w:ascii="宋体" w:hAnsi="宋体" w:cs="仿宋_GB2312" w:hint="eastAsia"/>
          <w:color w:val="000000"/>
          <w:kern w:val="0"/>
          <w:szCs w:val="21"/>
        </w:rPr>
        <w:t>境等方面不确定因素增多；另外，“</w:t>
      </w:r>
      <w:r>
        <w:rPr>
          <w:rFonts w:ascii="宋体" w:hAnsi="宋体" w:cs="仿宋_GB2312" w:hint="eastAsia"/>
          <w:color w:val="000000"/>
          <w:kern w:val="0"/>
          <w:szCs w:val="21"/>
        </w:rPr>
        <w:t>95</w:t>
      </w:r>
      <w:r>
        <w:rPr>
          <w:rFonts w:ascii="宋体" w:hAnsi="宋体" w:cs="仿宋_GB2312" w:hint="eastAsia"/>
          <w:color w:val="000000"/>
          <w:kern w:val="0"/>
          <w:szCs w:val="21"/>
        </w:rPr>
        <w:t>后”毕业生就业选择更趋自主化、多元化。大多毕业生的就业首选仍然是大城市和发达地区；到县以下基层和生产服务一线就业的意愿总体偏弱</w:t>
      </w:r>
      <w:r>
        <w:rPr>
          <w:rFonts w:ascii="宋体" w:hAnsi="宋体" w:cs="仿宋_GB2312" w:hint="eastAsia"/>
          <w:b/>
          <w:color w:val="000000"/>
          <w:kern w:val="0"/>
          <w:szCs w:val="21"/>
        </w:rPr>
        <w:t>。</w:t>
      </w:r>
      <w:r>
        <w:rPr>
          <w:rFonts w:ascii="宋体" w:hAnsi="宋体" w:cs="仿宋_GB2312" w:hint="eastAsia"/>
          <w:color w:val="000000"/>
          <w:kern w:val="0"/>
          <w:szCs w:val="21"/>
        </w:rPr>
        <w:t>受此影响，稳定和扩大就业面临较大压力。</w:t>
      </w:r>
    </w:p>
    <w:p w:rsidR="00603F28" w:rsidRDefault="00041260">
      <w:pPr>
        <w:tabs>
          <w:tab w:val="right" w:pos="8730"/>
        </w:tabs>
        <w:spacing w:line="560" w:lineRule="exact"/>
        <w:ind w:firstLineChars="200" w:firstLine="422"/>
        <w:rPr>
          <w:rFonts w:ascii="宋体" w:hAnsi="宋体" w:cs="仿宋_GB2312"/>
          <w:color w:val="000000"/>
          <w:kern w:val="0"/>
          <w:szCs w:val="21"/>
        </w:rPr>
      </w:pPr>
      <w:r>
        <w:rPr>
          <w:rFonts w:ascii="宋体" w:hAnsi="宋体" w:cs="仿宋_GB2312" w:hint="eastAsia"/>
          <w:b/>
          <w:color w:val="000000"/>
          <w:kern w:val="0"/>
          <w:szCs w:val="21"/>
        </w:rPr>
        <w:t>（六）机遇与利好方面：</w:t>
      </w:r>
      <w:r>
        <w:rPr>
          <w:rFonts w:ascii="宋体" w:hAnsi="宋体" w:cs="仿宋_GB2312" w:hint="eastAsia"/>
          <w:color w:val="000000"/>
          <w:kern w:val="0"/>
          <w:szCs w:val="21"/>
        </w:rPr>
        <w:t>一是宏观政策“稳”，从中央到地方，各级党委政府高度重视就业工作，将就业优先政策置于国家宏观政策层面，将对就业工作开展长期制度建设，为毕业生就业营造良好环境，为毕业生就业带来最大利好。二是行业的发展带动部分相关专业就业市场需求。</w:t>
      </w:r>
      <w:r>
        <w:rPr>
          <w:rFonts w:ascii="宋体" w:hAnsi="宋体" w:cs="仿宋_GB2312" w:hint="eastAsia"/>
          <w:bCs/>
          <w:kern w:val="0"/>
          <w:szCs w:val="21"/>
        </w:rPr>
        <w:t>（</w:t>
      </w:r>
      <w:r>
        <w:rPr>
          <w:rFonts w:ascii="宋体" w:hAnsi="宋体" w:cs="仿宋_GB2312" w:hint="eastAsia"/>
          <w:bCs/>
          <w:kern w:val="0"/>
          <w:szCs w:val="21"/>
        </w:rPr>
        <w:t>1</w:t>
      </w:r>
      <w:r>
        <w:rPr>
          <w:rFonts w:ascii="宋体" w:hAnsi="宋体" w:cs="仿宋_GB2312" w:hint="eastAsia"/>
          <w:bCs/>
          <w:kern w:val="0"/>
          <w:szCs w:val="21"/>
        </w:rPr>
        <w:t>）人工智能相关人才受关注。</w:t>
      </w:r>
      <w:r>
        <w:rPr>
          <w:rFonts w:ascii="宋体" w:hAnsi="宋体" w:cs="仿宋_GB2312" w:hint="eastAsia"/>
          <w:color w:val="000000"/>
          <w:kern w:val="0"/>
          <w:szCs w:val="21"/>
        </w:rPr>
        <w:t>数据显示，我国</w:t>
      </w:r>
      <w:r>
        <w:rPr>
          <w:rFonts w:ascii="宋体" w:hAnsi="宋体" w:cs="仿宋_GB2312" w:hint="eastAsia"/>
          <w:bCs/>
          <w:kern w:val="0"/>
          <w:szCs w:val="21"/>
        </w:rPr>
        <w:t>人工智能相关人才</w:t>
      </w:r>
      <w:r>
        <w:rPr>
          <w:rFonts w:ascii="宋体" w:hAnsi="宋体" w:cs="仿宋_GB2312" w:hint="eastAsia"/>
          <w:bCs/>
          <w:kern w:val="0"/>
          <w:szCs w:val="21"/>
        </w:rPr>
        <w:t>缺口超过</w:t>
      </w:r>
      <w:r>
        <w:rPr>
          <w:rFonts w:ascii="宋体" w:hAnsi="宋体" w:cs="仿宋_GB2312" w:hint="eastAsia"/>
          <w:bCs/>
          <w:kern w:val="0"/>
          <w:szCs w:val="21"/>
        </w:rPr>
        <w:t>500</w:t>
      </w:r>
      <w:r>
        <w:rPr>
          <w:rFonts w:ascii="宋体" w:hAnsi="宋体" w:cs="仿宋_GB2312" w:hint="eastAsia"/>
          <w:bCs/>
          <w:kern w:val="0"/>
          <w:szCs w:val="21"/>
        </w:rPr>
        <w:t>万，人工智能、移动终端、云计算、大数据</w:t>
      </w:r>
      <w:r>
        <w:rPr>
          <w:rFonts w:ascii="宋体" w:hAnsi="宋体" w:cs="仿宋_GB2312" w:hint="eastAsia"/>
          <w:color w:val="000000"/>
          <w:kern w:val="0"/>
          <w:szCs w:val="21"/>
        </w:rPr>
        <w:t>等相关专业应届生备受企业关注。（</w:t>
      </w:r>
      <w:r>
        <w:rPr>
          <w:rFonts w:ascii="宋体" w:hAnsi="宋体" w:cs="仿宋_GB2312" w:hint="eastAsia"/>
          <w:color w:val="000000"/>
          <w:kern w:val="0"/>
          <w:szCs w:val="21"/>
        </w:rPr>
        <w:t>2</w:t>
      </w:r>
      <w:r>
        <w:rPr>
          <w:rFonts w:ascii="宋体" w:hAnsi="宋体" w:cs="仿宋_GB2312" w:hint="eastAsia"/>
          <w:color w:val="000000"/>
          <w:kern w:val="0"/>
          <w:szCs w:val="21"/>
        </w:rPr>
        <w:t>）</w:t>
      </w:r>
      <w:r>
        <w:rPr>
          <w:rFonts w:ascii="宋体" w:hAnsi="宋体" w:cs="仿宋_GB2312" w:hint="eastAsia"/>
          <w:bCs/>
          <w:kern w:val="0"/>
          <w:szCs w:val="21"/>
        </w:rPr>
        <w:t>战略新兴产业受青睐。</w:t>
      </w:r>
      <w:r>
        <w:rPr>
          <w:rFonts w:ascii="宋体" w:hAnsi="宋体" w:cs="仿宋_GB2312" w:hint="eastAsia"/>
          <w:color w:val="000000"/>
          <w:kern w:val="0"/>
          <w:szCs w:val="21"/>
        </w:rPr>
        <w:t>电子信息及互联网等</w:t>
      </w:r>
      <w:r>
        <w:rPr>
          <w:rFonts w:ascii="宋体" w:hAnsi="宋体" w:cs="仿宋_GB2312" w:hint="eastAsia"/>
          <w:color w:val="000000"/>
          <w:kern w:val="0"/>
          <w:szCs w:val="21"/>
        </w:rPr>
        <w:t>IT</w:t>
      </w:r>
      <w:r>
        <w:rPr>
          <w:rFonts w:ascii="宋体" w:hAnsi="宋体" w:cs="仿宋_GB2312" w:hint="eastAsia"/>
          <w:color w:val="000000"/>
          <w:kern w:val="0"/>
          <w:szCs w:val="21"/>
        </w:rPr>
        <w:t>行业、机械制造业、房地产建筑业对毕业生的需求旺盛，物联网、智能装备、新材料、新能源汽车等战略性新兴产业对毕业生的需求也呈上升趋势。随着国家大战略的布局，特别是与“一带一路”、京津冀一体化、港珠澳等相关的项目行业，对人才吸引力巨大。</w:t>
      </w:r>
    </w:p>
    <w:p w:rsidR="00603F28" w:rsidRDefault="00041260">
      <w:pPr>
        <w:pStyle w:val="2"/>
        <w:rPr>
          <w:rFonts w:ascii="宋体" w:hAnsi="宋体"/>
        </w:rPr>
      </w:pPr>
      <w:bookmarkStart w:id="148" w:name="_Toc27642686"/>
      <w:r>
        <w:rPr>
          <w:rFonts w:ascii="宋体" w:hAnsi="宋体" w:hint="eastAsia"/>
        </w:rPr>
        <w:t>三、应对举措</w:t>
      </w:r>
      <w:bookmarkEnd w:id="148"/>
    </w:p>
    <w:p w:rsidR="00603F28" w:rsidRDefault="00041260">
      <w:pPr>
        <w:spacing w:line="560" w:lineRule="exact"/>
        <w:ind w:firstLineChars="200" w:firstLine="420"/>
        <w:rPr>
          <w:rFonts w:ascii="宋体" w:hAnsi="宋体" w:cs="仿宋_GB2312"/>
          <w:szCs w:val="21"/>
        </w:rPr>
      </w:pPr>
      <w:r>
        <w:rPr>
          <w:rFonts w:ascii="宋体" w:hAnsi="宋体" w:cs="仿宋_GB2312" w:hint="eastAsia"/>
          <w:szCs w:val="21"/>
        </w:rPr>
        <w:t>毕业生就业质量直接关系到学校的办学声誉和社会影响，</w:t>
      </w:r>
      <w:r>
        <w:rPr>
          <w:rFonts w:ascii="宋体" w:hAnsi="宋体" w:cs="仿宋_GB2312" w:hint="eastAsia"/>
          <w:szCs w:val="21"/>
        </w:rPr>
        <w:t>2020</w:t>
      </w:r>
      <w:r>
        <w:rPr>
          <w:rFonts w:ascii="宋体" w:hAnsi="宋体" w:cs="仿宋_GB2312" w:hint="eastAsia"/>
          <w:szCs w:val="21"/>
        </w:rPr>
        <w:t>届毕业生人数再一次达到近年新高，这意味着在激烈的就业市场竞争和就业工作布局调控</w:t>
      </w:r>
      <w:r>
        <w:rPr>
          <w:rFonts w:ascii="宋体" w:hAnsi="宋体" w:cs="仿宋_GB2312" w:hint="eastAsia"/>
          <w:szCs w:val="21"/>
        </w:rPr>
        <w:t>的内外压力下，我们仍然不能有丝毫懈怠。我们将，全力以赴做好今年的毕业生就业工作，确保我校</w:t>
      </w:r>
      <w:r>
        <w:rPr>
          <w:rFonts w:ascii="宋体" w:hAnsi="宋体" w:cs="仿宋_GB2312" w:hint="eastAsia"/>
          <w:szCs w:val="21"/>
        </w:rPr>
        <w:t>2020</w:t>
      </w:r>
      <w:r>
        <w:rPr>
          <w:rFonts w:ascii="宋体" w:hAnsi="宋体" w:cs="仿宋_GB2312" w:hint="eastAsia"/>
          <w:szCs w:val="21"/>
        </w:rPr>
        <w:t>届毕业生充分就业、高质量就业。</w:t>
      </w:r>
    </w:p>
    <w:p w:rsidR="00603F28" w:rsidRDefault="00041260">
      <w:pPr>
        <w:spacing w:line="560" w:lineRule="exact"/>
        <w:ind w:firstLineChars="200" w:firstLine="420"/>
        <w:rPr>
          <w:rFonts w:ascii="宋体" w:hAnsi="宋体" w:cs="仿宋_GB2312"/>
          <w:szCs w:val="21"/>
        </w:rPr>
      </w:pPr>
      <w:r>
        <w:rPr>
          <w:rFonts w:ascii="宋体" w:hAnsi="宋体" w:cs="仿宋_GB2312" w:hint="eastAsia"/>
          <w:szCs w:val="21"/>
        </w:rPr>
        <w:t>1.</w:t>
      </w:r>
      <w:r>
        <w:rPr>
          <w:rFonts w:ascii="宋体" w:hAnsi="宋体" w:cs="仿宋_GB2312" w:hint="eastAsia"/>
          <w:szCs w:val="21"/>
        </w:rPr>
        <w:t>以习近平新时代中国特色社会主义思想为指导，深入落实党中央、国务院关于促进高校毕业生就业创业的一系列重大决策部署，贯彻落实</w:t>
      </w:r>
      <w:r>
        <w:rPr>
          <w:rFonts w:ascii="宋体" w:hAnsi="宋体" w:cs="仿宋_GB2312" w:hint="eastAsia"/>
          <w:szCs w:val="21"/>
        </w:rPr>
        <w:t>2020</w:t>
      </w:r>
      <w:r>
        <w:rPr>
          <w:rFonts w:ascii="宋体" w:hAnsi="宋体" w:cs="仿宋_GB2312" w:hint="eastAsia"/>
          <w:szCs w:val="21"/>
        </w:rPr>
        <w:t>届全国普通高校毕业生就业创业工作网络视频会议精神。</w:t>
      </w:r>
    </w:p>
    <w:p w:rsidR="00603F28" w:rsidRDefault="00041260">
      <w:pPr>
        <w:spacing w:line="560" w:lineRule="exact"/>
        <w:ind w:firstLineChars="200" w:firstLine="420"/>
        <w:rPr>
          <w:rFonts w:ascii="宋体" w:hAnsi="宋体" w:cs="仿宋_GB2312"/>
          <w:szCs w:val="21"/>
        </w:rPr>
      </w:pPr>
      <w:r>
        <w:rPr>
          <w:rFonts w:ascii="宋体" w:hAnsi="宋体" w:cs="仿宋_GB2312" w:hint="eastAsia"/>
          <w:szCs w:val="21"/>
        </w:rPr>
        <w:t>2.</w:t>
      </w:r>
      <w:r>
        <w:rPr>
          <w:rFonts w:ascii="宋体" w:hAnsi="宋体" w:cs="仿宋_GB2312" w:hint="eastAsia"/>
          <w:szCs w:val="21"/>
        </w:rPr>
        <w:t>加强毕业生思想引领，服务国家战略，鼓励基层就业，开启就业新业态，继续鼓励到国际组织实习任职和留赣就业。坚持“走出去，请进来”，主动拓展就业市场；加强各地人才中心、校友企业和用人单位沟通，提高进校企业质量，强化就业、实习基地建设。</w:t>
      </w:r>
    </w:p>
    <w:p w:rsidR="00603F28" w:rsidRDefault="00041260">
      <w:pPr>
        <w:ind w:firstLineChars="200" w:firstLine="420"/>
        <w:rPr>
          <w:rFonts w:ascii="宋体" w:hAnsi="宋体" w:cs="仿宋_GB2312"/>
          <w:szCs w:val="21"/>
        </w:rPr>
      </w:pPr>
      <w:r>
        <w:rPr>
          <w:rFonts w:ascii="宋体" w:hAnsi="宋体" w:cs="仿宋_GB2312" w:hint="eastAsia"/>
          <w:szCs w:val="21"/>
        </w:rPr>
        <w:t>3.</w:t>
      </w:r>
      <w:r>
        <w:rPr>
          <w:rFonts w:ascii="宋体" w:hAnsi="宋体" w:cs="仿宋_GB2312" w:hint="eastAsia"/>
          <w:szCs w:val="21"/>
        </w:rPr>
        <w:t>出台加强就业工作指导意见，落实就业工作主体责任，推动规范化精准就业，形成工作合力。完善就业工作奖励办法和考核体系，加强对学院就业工作的指导与考核，建立离校未就业毕业生工作台账，帮扶双困生群体学生就业。</w:t>
      </w:r>
    </w:p>
    <w:p w:rsidR="00603F28" w:rsidRDefault="00041260">
      <w:pPr>
        <w:ind w:firstLineChars="200" w:firstLine="420"/>
        <w:rPr>
          <w:rFonts w:ascii="宋体" w:hAnsi="宋体" w:cs="仿宋_GB2312"/>
          <w:szCs w:val="21"/>
        </w:rPr>
      </w:pPr>
      <w:r>
        <w:rPr>
          <w:rFonts w:ascii="宋体" w:hAnsi="宋体" w:cs="仿宋_GB2312" w:hint="eastAsia"/>
          <w:szCs w:val="21"/>
        </w:rPr>
        <w:t>4.</w:t>
      </w:r>
      <w:r>
        <w:rPr>
          <w:rFonts w:ascii="宋体" w:hAnsi="宋体" w:cs="仿宋_GB2312" w:hint="eastAsia"/>
          <w:szCs w:val="21"/>
        </w:rPr>
        <w:t>深化职业规划与就业指导课程改革。加强线上与线下课程的有机结合，开展体</w:t>
      </w:r>
      <w:r>
        <w:rPr>
          <w:rFonts w:ascii="宋体" w:hAnsi="宋体" w:cs="仿宋_GB2312" w:hint="eastAsia"/>
          <w:szCs w:val="21"/>
        </w:rPr>
        <w:t>验式教学，提高教学效果</w:t>
      </w:r>
      <w:r>
        <w:rPr>
          <w:rFonts w:ascii="宋体" w:hAnsi="宋体" w:cs="仿宋_GB2312" w:hint="eastAsia"/>
          <w:szCs w:val="21"/>
        </w:rPr>
        <w:t>,</w:t>
      </w:r>
      <w:r>
        <w:rPr>
          <w:rFonts w:ascii="宋体" w:hAnsi="宋体" w:cs="仿宋_GB2312" w:hint="eastAsia"/>
          <w:szCs w:val="21"/>
        </w:rPr>
        <w:t>实现知识传授、价值引领、能力提升的有机统一。出台相应规章制度，鼓励各学院结合本学院专业特点及就业情况，建设学院职业发展辅导室，完成本学院课程教学及生涯咨询与辅导，实现生涯教育与辅导全覆盖与就业指导的精细化。</w:t>
      </w:r>
    </w:p>
    <w:p w:rsidR="00603F28" w:rsidRDefault="00041260">
      <w:pPr>
        <w:ind w:firstLineChars="200" w:firstLine="420"/>
        <w:rPr>
          <w:rFonts w:ascii="宋体" w:hAnsi="宋体" w:cs="仿宋_GB2312"/>
          <w:szCs w:val="21"/>
        </w:rPr>
      </w:pPr>
      <w:r>
        <w:rPr>
          <w:rFonts w:ascii="宋体" w:hAnsi="宋体" w:cs="仿宋_GB2312" w:hint="eastAsia"/>
          <w:szCs w:val="21"/>
        </w:rPr>
        <w:t>5.</w:t>
      </w:r>
      <w:r>
        <w:rPr>
          <w:rFonts w:ascii="宋体" w:hAnsi="宋体" w:cs="仿宋_GB2312" w:hint="eastAsia"/>
          <w:szCs w:val="21"/>
        </w:rPr>
        <w:t>从学生高质量就业的需求出发，以共建俱乐部等形式加强与优质企业的合作；以学生社团为抓手，创新职业发展教育主题活动设计与开发，提升学生求职能力及就业竞争力；加大对升学深造学生群体的分类指导，提升升学率。</w:t>
      </w:r>
    </w:p>
    <w:p w:rsidR="00603F28" w:rsidRDefault="00041260">
      <w:pPr>
        <w:ind w:firstLineChars="200" w:firstLine="420"/>
        <w:rPr>
          <w:rFonts w:ascii="宋体" w:hAnsi="宋体"/>
          <w:szCs w:val="21"/>
        </w:rPr>
      </w:pPr>
      <w:r>
        <w:rPr>
          <w:rFonts w:ascii="宋体" w:hAnsi="宋体" w:cs="仿宋_GB2312" w:hint="eastAsia"/>
          <w:szCs w:val="21"/>
        </w:rPr>
        <w:t>6.</w:t>
      </w:r>
      <w:r>
        <w:rPr>
          <w:rFonts w:ascii="宋体" w:hAnsi="宋体" w:cs="仿宋_GB2312" w:hint="eastAsia"/>
          <w:szCs w:val="21"/>
        </w:rPr>
        <w:t>加强毕业生跟踪调研工作，推动形成就业与人才培养联动机制。推动落实《教育部</w:t>
      </w:r>
      <w:r>
        <w:rPr>
          <w:rFonts w:ascii="宋体" w:hAnsi="宋体" w:cs="仿宋_GB2312" w:hint="eastAsia"/>
          <w:szCs w:val="21"/>
        </w:rPr>
        <w:t>关于推动高校形成就业与招生计划人才培养联动机制的指导意见》（教高〔</w:t>
      </w:r>
      <w:r>
        <w:rPr>
          <w:rFonts w:ascii="宋体" w:hAnsi="宋体" w:cs="仿宋_GB2312" w:hint="eastAsia"/>
          <w:szCs w:val="21"/>
        </w:rPr>
        <w:t>2017</w:t>
      </w:r>
      <w:r>
        <w:rPr>
          <w:rFonts w:ascii="宋体" w:hAnsi="宋体" w:cs="仿宋_GB2312" w:hint="eastAsia"/>
          <w:szCs w:val="21"/>
        </w:rPr>
        <w:t>〕</w:t>
      </w:r>
      <w:r>
        <w:rPr>
          <w:rFonts w:ascii="宋体" w:hAnsi="宋体" w:cs="仿宋_GB2312" w:hint="eastAsia"/>
          <w:szCs w:val="21"/>
        </w:rPr>
        <w:t>8</w:t>
      </w:r>
      <w:r>
        <w:rPr>
          <w:rFonts w:ascii="宋体" w:hAnsi="宋体" w:cs="仿宋_GB2312" w:hint="eastAsia"/>
          <w:szCs w:val="21"/>
        </w:rPr>
        <w:t>号），进一步统一思想，提高认识，高度重视形成就业与人才培养联动机制对全面提高人才培养能力的重要作用。</w:t>
      </w:r>
    </w:p>
    <w:p w:rsidR="00603F28" w:rsidRDefault="00041260">
      <w:pPr>
        <w:rPr>
          <w:rFonts w:ascii="time" w:hAnsi="time" w:hint="eastAsia"/>
        </w:rPr>
      </w:pPr>
      <w:r>
        <w:rPr>
          <w:rFonts w:ascii="time" w:hAnsi="time" w:hint="eastAsia"/>
        </w:rPr>
        <w:br w:type="page"/>
      </w:r>
    </w:p>
    <w:p w:rsidR="00603F28" w:rsidRDefault="00041260">
      <w:pPr>
        <w:rPr>
          <w:rFonts w:ascii="time" w:hAnsi="time" w:hint="eastAsia"/>
        </w:rPr>
      </w:pPr>
      <w:r>
        <w:rPr>
          <w:rFonts w:ascii="time" w:hAnsi="time" w:hint="eastAsia"/>
          <w:noProof/>
        </w:rPr>
        <w:drawing>
          <wp:anchor distT="0" distB="0" distL="114300" distR="114300" simplePos="0" relativeHeight="251666432" behindDoc="0" locked="0" layoutInCell="1" allowOverlap="1">
            <wp:simplePos x="0" y="0"/>
            <wp:positionH relativeFrom="column">
              <wp:posOffset>-1125220</wp:posOffset>
            </wp:positionH>
            <wp:positionV relativeFrom="paragraph">
              <wp:posOffset>-902970</wp:posOffset>
            </wp:positionV>
            <wp:extent cx="7559040" cy="10683240"/>
            <wp:effectExtent l="0" t="0" r="4445" b="381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558758" cy="10683369"/>
                    </a:xfrm>
                    <a:prstGeom prst="rect">
                      <a:avLst/>
                    </a:prstGeom>
                  </pic:spPr>
                </pic:pic>
              </a:graphicData>
            </a:graphic>
          </wp:anchor>
        </w:drawing>
      </w:r>
    </w:p>
    <w:sectPr w:rsidR="00603F28">
      <w:footerReference w:type="default" r:id="rId10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041260">
      <w:pPr>
        <w:spacing w:line="240" w:lineRule="auto"/>
      </w:pPr>
      <w:r>
        <w:separator/>
      </w:r>
    </w:p>
  </w:endnote>
  <w:endnote w:type="continuationSeparator" w:id="0">
    <w:p w:rsidR="00000000" w:rsidRDefault="000412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Arial"/>
    <w:panose1 w:val="02020603050405020304"/>
    <w:charset w:val="00"/>
    <w:family w:val="roman"/>
    <w:pitch w:val="variable"/>
    <w:sig w:usb0="00000000" w:usb1="80000000" w:usb2="00000008" w:usb3="00000000" w:csb0="000001FF" w:csb1="00000000"/>
  </w:font>
  <w:font w:name="宋体">
    <w:altName w:val="微软雅黑"/>
    <w:panose1 w:val="02010600030101010101"/>
    <w:charset w:val="86"/>
    <w:family w:val="auto"/>
    <w:pitch w:val="default"/>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auto"/>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Microsoft YaHei UI">
    <w:panose1 w:val="020B0503020204020204"/>
    <w:charset w:val="86"/>
    <w:family w:val="swiss"/>
    <w:pitch w:val="variable"/>
    <w:sig w:usb0="A0000287" w:usb1="28CF3C52" w:usb2="00000016" w:usb3="00000000" w:csb0="0004001F" w:csb1="00000000"/>
  </w:font>
  <w:font w:name="MS Mincho">
    <w:altName w:val="ＭＳ 明朝"/>
    <w:panose1 w:val="02020609040205080304"/>
    <w:charset w:val="80"/>
    <w:family w:val="modern"/>
    <w:pitch w:val="default"/>
    <w:sig w:usb0="E00002FF" w:usb1="6AC7FDFB" w:usb2="00000012" w:usb3="00000000" w:csb0="4002009F" w:csb1="DFD70000"/>
  </w:font>
  <w:font w:name="等线 Light">
    <w:altName w:val="等线"/>
    <w:charset w:val="00"/>
    <w:family w:val="auto"/>
    <w:pitch w:val="default"/>
  </w:font>
  <w:font w:name="华文楷体">
    <w:altName w:val="微软雅黑"/>
    <w:panose1 w:val="02010600040101010101"/>
    <w:charset w:val="86"/>
    <w:family w:val="auto"/>
    <w:pitch w:val="default"/>
    <w:sig w:usb0="00000287" w:usb1="080F0000" w:usb2="00000000" w:usb3="00000000" w:csb0="0004009F" w:csb1="DFD70000"/>
  </w:font>
  <w:font w:name="time">
    <w:altName w:val="Times New Roman"/>
    <w:charset w:val="00"/>
    <w:family w:val="roman"/>
    <w:pitch w:val="default"/>
  </w:font>
  <w:font w:name="Songti SC">
    <w:altName w:val="华文仿宋"/>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方正细黑一_GBK">
    <w:altName w:val="黑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28" w:rsidRDefault="00041260">
    <w:pPr>
      <w:pStyle w:val="ad"/>
    </w:pPr>
    <w:r>
      <w:rPr>
        <w:noProof/>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F28" w:rsidRDefault="0004126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7" o:spid="_x0000_s1026" type="#_x0000_t202" style="position:absolute;margin-left:0;margin-top:0;width:2in;height:2in;z-index:25166643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e6yPHQAQAAoQMAAA4AAABkcnMvZTJvRG9jLnhtbKxT247TMBB9R+IfLL/TZCsEVdR0BayK&#13;&#10;kJaLtMsHTBynsYg91thtUr6esdN0F3hDvFhjz/h4zpnj7e1kB3HSFAy6Wt6sSim0U9gad6jl98f9&#13;&#10;q40UIYJrYUCna3nWQd7uXr7Yjr7Sa+xxaDUJBnGhGn0t+xh9VRRB9dpCWKHXjpMdkoXIWzoULcHI&#13;&#10;6HYo1mX5phiRWk+odAh8ejcn5S7jd51W8WvXBR3FUEvuLeaV8trktdhtoToQ+N6oSx/wD21YMI5f&#13;&#10;vULdQQRxJPMXlDWKMGAXVwptgV1nlM4kmM5N+Qedhx68zmRYneCvOoX/B6u+nL6RMG0t16+lcGB5&#13;&#10;SOKtFKzL6EPF6QfPBXF6jxMPOHMM/h7Vj5BqimdF842QypvxM7aMBMeI+crUkU3yMGHBODyK85P8&#13;&#10;eopCJfTNerMpOac4ed2kV6BaADyF+FGjFSmoJfGE8wNwug8xdwTVUpMedLg3w5ASUA3u9xOGTUeZ&#13;&#10;Q2p7JhCnZlroN9iemQ7hbBw2Ogc90k8pRvZMLR27Worhk+ORJH8tAS1BswTgFF+sZZRiDj/E2YdH&#13;&#10;T+bQM+4i7jsWbW9mMkneuYlLn2yDrMfFsslnz/e56uln7X4BAAD//wMAUEsDBBQABgAIAAAAIQAp&#13;&#10;P2Ob3AAAAAsBAAAPAAAAZHJzL2Rvd25yZXYueG1sTE9BTsMwELwj8QdrkbhRpz2UkMapKqJeAAna&#13;&#10;coCbEy9Jir2OYrcNv2dBQvQy2tFoZmfy5eisOOIQOk8KppMEBFLtTUeNgtfd+iYFEaImo60nVPCF&#13;&#10;AZbF5UWuM+NPtMHjNjaCQyhkWkEbY59JGeoWnQ4T3yOx9uEHpyPToZFm0CcOd1bOkmQune6IP7S6&#13;&#10;x/sW68/twSlY09xW9iG9fXwuVy/V+1359EZ7pa6vxnLBsFqAiDjGfwf8bOD+UHCxyh/IBGEV8Jr4&#13;&#10;i6zN0pRp9XfIIpfnG4pvAAAA//8DAFBLAQItABQABgAIAAAAIQBaIpOj/wAAAOUBAAATAAAAAAAA&#13;&#10;AAAAAAAAAAAAAABbQ29udGVudF9UeXBlc10ueG1sUEsBAi0AFAAGAAgAAAAhAKdKzzjXAAAAlgEA&#13;&#10;AAsAAAAAAAAAAAAAAAAAMAEAAF9yZWxzLy5yZWxzUEsBAi0AFAAGAAgAAAAhAOe6yPHQAQAAoQMA&#13;&#10;AA4AAAAAAAAAAAAAAAAAMAIAAGRycy9lMm9Eb2MueG1sUEsBAi0AFAAGAAgAAAAhACk/Y5vcAAAA&#13;&#10;CwEAAA8AAAAAAAAAAAAAAAAALAQAAGRycy9kb3ducmV2LnhtbFBLBQYAAAAABAAEAPMAAAA1BQAA&#13;&#10;AAA=&#13;&#10;" filled="f" stroked="f">
              <v:path arrowok="t"/>
              <v:textbox style="mso-fit-shape-to-text:t" inset="0,0,0,0">
                <w:txbxContent>
                  <w:p w:rsidR="00603F28" w:rsidRDefault="0004126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28" w:rsidRDefault="00041260">
    <w:pPr>
      <w:pStyle w:val="ad"/>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F28" w:rsidRDefault="00041260">
                          <w:pPr>
                            <w:pStyle w:val="ad"/>
                          </w:pPr>
                          <w:r>
                            <w:rPr>
                              <w:rFonts w:hint="eastAsia"/>
                            </w:rPr>
                            <w:fldChar w:fldCharType="begin"/>
                          </w:r>
                          <w:r>
                            <w:rPr>
                              <w:rFonts w:hint="eastAsia"/>
                            </w:rPr>
                            <w:instrText xml:space="preserve"> PAGE  \* MERGEFORM</w:instrText>
                          </w:r>
                          <w:r>
                            <w:rPr>
                              <w:rFonts w:hint="eastAsia"/>
                            </w:rPr>
                            <w:instrText xml:space="preserve">AT </w:instrText>
                          </w:r>
                          <w:r>
                            <w:rPr>
                              <w:rFonts w:hint="eastAsia"/>
                            </w:rPr>
                            <w:fldChar w:fldCharType="separate"/>
                          </w:r>
                          <w:r>
                            <w:rPr>
                              <w:rFonts w:hint="eastAsia"/>
                            </w:rPr>
                            <w:t>6</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4" o:spid="_x0000_s1027" type="#_x0000_t202" style="position:absolute;margin-left:0;margin-top:0;width:2in;height:2in;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OOveXSAQAAqAMAAA4AAABkcnMvZTJvRG9jLnhtbKxT247TMBB9R+IfLL/TpBFCVdR0BayK&#13;&#10;kJaLtPABU8dpLGKPNXablK9n7DTdBd4QL9bYMz6ec+Z4ezfZQZw1BYOuketVKYV2Clvjjo38/m3/&#13;&#10;aiNFiOBaGNDpRl50kHe7ly+2o691hT0OrSbBIC7Uo29kH6OviyKoXlsIK/TacbJDshB5S8eiJRgZ&#13;&#10;3Q5FVZZvihGp9YRKh8Cn93NS7jJ+12kVv3Rd0FEMjeTeYl4pr4e8Frst1EcC3xt17QP+oQ0LxvGr&#13;&#10;N6h7iCBOZP6CskYRBuziSqEtsOuM0pkE01mXf9B57MHrTIbVCf6mU/h/sOrz+SsJ0zayqqRwYHlI&#13;&#10;4rUUrMvoQ83pR88FcXqHEw84cwz+AdWPkGqKZ0XzjZDKD+MnbBkJThHzlakjm+RhwoJxeBSXJ/n1&#13;&#10;FIVK6Jtqsyk5pzh526RXoF4APIX4QaMVKWgk8YTzA3B+CDF3BPVSkx50uDfDkBJQD+73E4ZNR5lD&#13;&#10;ansmEKfDlAVZ31Q4YHthVoSzf9jvHPRIP6UY2TqNdGxuKYaPjieTbLYEtASHJQCn+GIjoxRz+D7O&#13;&#10;djx5MseecReN37J2ezNzSirPTVzbZTdkWa7OTXZ7vs9VTx9s9wsAAP//AwBQSwMEFAAGAAgAAAAh&#13;&#10;ACk/Y5vcAAAACwEAAA8AAABkcnMvZG93bnJldi54bWxMT0FOwzAQvCPxB2uRuFGnPZSQxqkqol4A&#13;&#10;CdpygJsTL0mKvY5itw2/Z0FC9DLa0WhmZ/Ll6Kw44hA6TwqmkwQEUu1NR42C1936JgURoiajrSdU&#13;&#10;8IUBlsXlRa4z40+0weM2NoJDKGRaQRtjn0kZ6hadDhPfI7H24QenI9OhkWbQJw53Vs6SZC6d7og/&#13;&#10;tLrH+xbrz+3BKVjT3Fb2Ib19fC5XL9X7Xfn0Rnulrq/GcsGwWoCIOMZ/B/xs4P5QcLHKH8gEYRXw&#13;&#10;mviLrM3SlGn1d8gil+cbim8AAAD//wMAUEsBAi0AFAAGAAgAAAAhAFoik6P/AAAA5QEAABMAAAAA&#13;&#10;AAAAAAAAAAAAAAAAAFtDb250ZW50X1R5cGVzXS54bWxQSwECLQAUAAYACAAAACEAp0rPONcAAACW&#13;&#10;AQAACwAAAAAAAAAAAAAAAAAwAQAAX3JlbHMvLnJlbHNQSwECLQAUAAYACAAAACEAQ4695dIBAACo&#13;&#10;AwAADgAAAAAAAAAAAAAAAAAwAgAAZHJzL2Uyb0RvYy54bWxQSwECLQAUAAYACAAAACEAKT9jm9wA&#13;&#10;AAALAQAADwAAAAAAAAAAAAAAAAAuBAAAZHJzL2Rvd25yZXYueG1sUEsFBgAAAAAEAAQA8wAAADcF&#13;&#10;AAAAAA==&#13;&#10;" filled="f" stroked="f">
              <v:path arrowok="t"/>
              <v:textbox style="mso-fit-shape-to-text:t" inset="0,0,0,0">
                <w:txbxContent>
                  <w:p w:rsidR="00603F28" w:rsidRDefault="00041260">
                    <w:pPr>
                      <w:pStyle w:val="ad"/>
                    </w:pPr>
                    <w:r>
                      <w:rPr>
                        <w:rFonts w:hint="eastAsia"/>
                      </w:rPr>
                      <w:fldChar w:fldCharType="begin"/>
                    </w:r>
                    <w:r>
                      <w:rPr>
                        <w:rFonts w:hint="eastAsia"/>
                      </w:rPr>
                      <w:instrText xml:space="preserve"> PAGE  \* MERGEFORM</w:instrText>
                    </w:r>
                    <w:r>
                      <w:rPr>
                        <w:rFonts w:hint="eastAsia"/>
                      </w:rPr>
                      <w:instrText xml:space="preserve">AT </w:instrText>
                    </w:r>
                    <w:r>
                      <w:rPr>
                        <w:rFonts w:hint="eastAsia"/>
                      </w:rPr>
                      <w:fldChar w:fldCharType="separate"/>
                    </w:r>
                    <w:r>
                      <w:rPr>
                        <w:rFonts w:hint="eastAsia"/>
                      </w:rPr>
                      <w:t>6</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28" w:rsidRDefault="00041260">
    <w:pPr>
      <w:pStyle w:val="ad"/>
      <w:jc w:val="center"/>
      <w:rPr>
        <w:rFonts w:eastAsiaTheme="majorEastAsia" w:cs="Times New Roman"/>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F28" w:rsidRDefault="0004126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6" o:spid="_x0000_s1028" type="#_x0000_t202" style="position:absolute;left:0;text-align:left;margin-left:0;margin-top:0;width:2in;height:2in;z-index:25166540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VBZLPSAQAAqAMAAA4AAABkcnMvZTJvRG9jLnhtbKxTTY/TMBC9I/EfLN9p0h5WVdR0BayK&#13;&#10;kJYPaeEHTBynsYg91thtUn49Y6fpLnBDXKyxZ/w8783z7n6ygzhrCgZdLderUgrtFLbGHWv5/dvh&#13;&#10;zVaKEMG1MKDTtbzoIO/3r1/tRl/pDfY4tJoEg7hQjb6WfYy+Koqgem0hrNBrx8kOyULkLR2LlmBk&#13;&#10;dDsUm7K8K0ak1hMqHQKfPsxJuc/4XadV/NJ1QUcx1JJ7i3mlvDZ5LfY7qI4Evjfq2gf8QxsWjONX&#13;&#10;b1APEEGcyPwFZY0iDNjFlUJbYNcZpTMJprMu/6Dz1IPXmQyrE/xNp/D/YNXn81cSpq3lZi2FA8tD&#13;&#10;EndSsC6jDxWnnzwXxOkdTjzgzDH4R1Q/QqopXhTNN0Iqb8ZP2DISnCLmK1NHNsnDhAXj8Cguz/Lr&#13;&#10;KQqV0Leb7bbknOLkbZNegWoB8BTiB41WpKCWxBPOD8D5McTcEVRLTXrQ4cEMQ0pANbjfTxg2HWUO&#13;&#10;qe2ZQJyaaRbkpkKD7YVZEc7+Yb9z0CP9lGJk69TSsbmlGD46nkyy2RLQEjRLAE7xxVpGKebwfZzt&#13;&#10;ePJkjj3jLhq/Ze0OZuaUVJ6buLbLbsiyXJ2b7PZyn6ueP9j+FwAAAP//AwBQSwMEFAAGAAgAAAAh&#13;&#10;ACk/Y5vcAAAACwEAAA8AAABkcnMvZG93bnJldi54bWxMT0FOwzAQvCPxB2uRuFGnPZSQxqkqol4A&#13;&#10;CdpygJsTL0mKvY5itw2/Z0FC9DLa0WhmZ/Ll6Kw44hA6TwqmkwQEUu1NR42C1936JgURoiajrSdU&#13;&#10;8IUBlsXlRa4z40+0weM2NoJDKGRaQRtjn0kZ6hadDhPfI7H24QenI9OhkWbQJw53Vs6SZC6d7og/&#13;&#10;tLrH+xbrz+3BKVjT3Fb2Ib19fC5XL9X7Xfn0Rnulrq/GcsGwWoCIOMZ/B/xs4P5QcLHKH8gEYRXw&#13;&#10;mviLrM3SlGn1d8gil+cbim8AAAD//wMAUEsBAi0AFAAGAAgAAAAhAFoik6P/AAAA5QEAABMAAAAA&#13;&#10;AAAAAAAAAAAAAAAAAFtDb250ZW50X1R5cGVzXS54bWxQSwECLQAUAAYACAAAACEAp0rPONcAAACW&#13;&#10;AQAACwAAAAAAAAAAAAAAAAAwAQAAX3JlbHMvLnJlbHNQSwECLQAUAAYACAAAACEABUFks9IBAACo&#13;&#10;AwAADgAAAAAAAAAAAAAAAAAwAgAAZHJzL2Uyb0RvYy54bWxQSwECLQAUAAYACAAAACEAKT9jm9wA&#13;&#10;AAALAQAADwAAAAAAAAAAAAAAAAAuBAAAZHJzL2Rvd25yZXYueG1sUEsFBgAAAAAEAAQA8wAAADcF&#13;&#10;AAAAAA==&#13;&#10;" filled="f" stroked="f">
              <v:path arrowok="t"/>
              <v:textbox style="mso-fit-shape-to-text:t" inset="0,0,0,0">
                <w:txbxContent>
                  <w:p w:rsidR="00603F28" w:rsidRDefault="0004126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8"/>
                              <w:szCs w:val="28"/>
                              <w:lang w:val="zh-CN"/>
                            </w:rPr>
                            <w:id w:val="1891920421"/>
                          </w:sdtPr>
                          <w:sdtEndPr>
                            <w:rPr>
                              <w:rFonts w:ascii="Times New Roman" w:hAnsi="Times New Roman" w:cs="Times New Roman"/>
                              <w:sz w:val="18"/>
                              <w:szCs w:val="18"/>
                            </w:rPr>
                          </w:sdtEndPr>
                          <w:sdtContent>
                            <w:p w:rsidR="00603F28" w:rsidRDefault="00041260">
                              <w:pPr>
                                <w:pStyle w:val="ad"/>
                                <w:jc w:val="center"/>
                                <w:rPr>
                                  <w:rFonts w:eastAsiaTheme="majorEastAsia" w:cs="Times New Roman"/>
                                  <w:lang w:val="zh-CN"/>
                                </w:rPr>
                              </w:pPr>
                            </w:p>
                          </w:sdtContent>
                        </w:sdt>
                        <w:p w:rsidR="00603F28" w:rsidRDefault="00603F28">
                          <w:pPr>
                            <w:rPr>
                              <w:rFonts w:eastAsiaTheme="majorEastAsia" w:cs="Times New Roman"/>
                              <w:sz w:val="18"/>
                              <w:szCs w:val="18"/>
                              <w:lang w:val="zh-CN"/>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 5" o:spid="_x0000_s1029" type="#_x0000_t202" style="position:absolute;left:0;text-align:left;margin-left:0;margin-top:0;width:2in;height:2in;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LZ6NjSAQAAqAMAAA4AAABkcnMvZTJvRG9jLnhtbKxT247TMBB9R+IfLL/TZItAVdR0BayK&#13;&#10;kJaLtMsHTBynsYg91thtUr6esdN0F3hDvFhjz/h4zpnj7e1kB3HSFAy6Wt6sSim0U9gad6jl98f9&#13;&#10;q40UIYJrYUCna3nWQd7uXr7Yjr7Sa+xxaDUJBnGhGn0t+xh9VRRB9dpCWKHXjpMdkoXIWzoULcHI&#13;&#10;6HYo1mX5thiRWk+odAh8ejcn5S7jd51W8WvXBR3FUEvuLeaV8trktdhtoToQ+N6oSx/wD21YMI5f&#13;&#10;vULdQQRxJPMXlDWKMGAXVwptgV1nlM4kmM5N+Qedhx68zmRYneCvOoX/B6u+nL6RMC0Pby2FA8tD&#13;&#10;Em+kYF1GHypOP3guiNN7nLgmcwz+HtWPkGqKZ0XzjZDKm/EztowEx4j5ytSRTfIwYcE4PIrzk/x6&#13;&#10;ikIl9M16syk5pzh53aRXoFoAPIX4UaMVKagl8YTzA3C6DzF3BNVSkx50uDfDkBJQDe73E4ZNR5lD&#13;&#10;ansmEKdmyoK8vqrQYHtmVoSzf9jvHPRIP6UY2Tq1dGxuKYZPjieTbLYEtATNEoBTfLGWUYo5/BBn&#13;&#10;Ox49mUPPuIvG71i7vZk5JZXnJi7tshuyLBfnJrs93+eqpw+2+wUAAP//AwBQSwMEFAAGAAgAAAAh&#13;&#10;ACk/Y5vcAAAACwEAAA8AAABkcnMvZG93bnJldi54bWxMT0FOwzAQvCPxB2uRuFGnPZSQxqkqol4A&#13;&#10;CdpygJsTL0mKvY5itw2/Z0FC9DLa0WhmZ/Ll6Kw44hA6TwqmkwQEUu1NR42C1936JgURoiajrSdU&#13;&#10;8IUBlsXlRa4z40+0weM2NoJDKGRaQRtjn0kZ6hadDhPfI7H24QenI9OhkWbQJw53Vs6SZC6d7og/&#13;&#10;tLrH+xbrz+3BKVjT3Fb2Ib19fC5XL9X7Xfn0Rnulrq/GcsGwWoCIOMZ/B/xs4P5QcLHKH8gEYRXw&#13;&#10;mviLrM3SlGn1d8gil+cbim8AAAD//wMAUEsBAi0AFAAGAAgAAAAhAFoik6P/AAAA5QEAABMAAAAA&#13;&#10;AAAAAAAAAAAAAAAAAFtDb250ZW50X1R5cGVzXS54bWxQSwECLQAUAAYACAAAACEAp0rPONcAAACW&#13;&#10;AQAACwAAAAAAAAAAAAAAAAAwAQAAX3JlbHMvLnJlbHNQSwECLQAUAAYACAAAACEActno2NIBAACo&#13;&#10;AwAADgAAAAAAAAAAAAAAAAAwAgAAZHJzL2Uyb0RvYy54bWxQSwECLQAUAAYACAAAACEAKT9jm9wA&#13;&#10;AAALAQAADwAAAAAAAAAAAAAAAAAuBAAAZHJzL2Rvd25yZXYueG1sUEsFBgAAAAAEAAQA8wAAADcF&#13;&#10;AAAAAA==&#13;&#10;" filled="f" stroked="f">
              <v:path arrowok="t"/>
              <v:textbox style="mso-fit-shape-to-text:t" inset="0,0,0,0">
                <w:txbxContent>
                  <w:sdt>
                    <w:sdtPr>
                      <w:rPr>
                        <w:rFonts w:asciiTheme="majorHAnsi" w:eastAsiaTheme="majorEastAsia" w:hAnsiTheme="majorHAnsi" w:cstheme="majorBidi"/>
                        <w:sz w:val="28"/>
                        <w:szCs w:val="28"/>
                        <w:lang w:val="zh-CN"/>
                      </w:rPr>
                      <w:id w:val="1891920421"/>
                    </w:sdtPr>
                    <w:sdtEndPr>
                      <w:rPr>
                        <w:rFonts w:ascii="Times New Roman" w:hAnsi="Times New Roman" w:cs="Times New Roman"/>
                        <w:sz w:val="18"/>
                        <w:szCs w:val="18"/>
                      </w:rPr>
                    </w:sdtEndPr>
                    <w:sdtContent>
                      <w:p w:rsidR="00603F28" w:rsidRDefault="00041260">
                        <w:pPr>
                          <w:pStyle w:val="ad"/>
                          <w:jc w:val="center"/>
                          <w:rPr>
                            <w:rFonts w:eastAsiaTheme="majorEastAsia" w:cs="Times New Roman"/>
                            <w:lang w:val="zh-CN"/>
                          </w:rPr>
                        </w:pPr>
                      </w:p>
                    </w:sdtContent>
                  </w:sdt>
                  <w:p w:rsidR="00603F28" w:rsidRDefault="00603F28">
                    <w:pPr>
                      <w:rPr>
                        <w:rFonts w:eastAsiaTheme="majorEastAsia" w:cs="Times New Roman"/>
                        <w:sz w:val="18"/>
                        <w:szCs w:val="18"/>
                        <w:lang w:val="zh-CN"/>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041260">
      <w:pPr>
        <w:spacing w:line="240" w:lineRule="auto"/>
      </w:pPr>
      <w:r>
        <w:separator/>
      </w:r>
    </w:p>
  </w:footnote>
  <w:footnote w:type="continuationSeparator" w:id="0">
    <w:p w:rsidR="00000000" w:rsidRDefault="00041260">
      <w:pPr>
        <w:spacing w:line="240" w:lineRule="auto"/>
      </w:pPr>
      <w:r>
        <w:continuationSeparator/>
      </w:r>
    </w:p>
  </w:footnote>
  <w:footnote w:id="1">
    <w:p w:rsidR="00603F28" w:rsidRDefault="00041260">
      <w:pPr>
        <w:pStyle w:val="af1"/>
        <w:rPr>
          <w:rFonts w:ascii="宋体" w:hAnsi="宋体"/>
          <w:szCs w:val="18"/>
        </w:rPr>
      </w:pPr>
      <w:r>
        <w:rPr>
          <w:rFonts w:ascii="宋体" w:hAnsi="宋体" w:hint="eastAsia"/>
          <w:szCs w:val="18"/>
        </w:rPr>
        <w:t>[</w:t>
      </w:r>
      <w:r>
        <w:rPr>
          <w:rStyle w:val="afc"/>
          <w:rFonts w:ascii="宋体" w:hAnsi="宋体"/>
          <w:szCs w:val="18"/>
          <w:vertAlign w:val="baseline"/>
        </w:rPr>
        <w:footnoteRef/>
      </w:r>
      <w:r>
        <w:rPr>
          <w:rFonts w:ascii="宋体" w:hAnsi="宋体"/>
          <w:szCs w:val="18"/>
        </w:rPr>
        <w:t>]</w:t>
      </w:r>
      <w:r>
        <w:rPr>
          <w:rFonts w:ascii="宋体" w:hAnsi="宋体" w:hint="eastAsia"/>
        </w:rPr>
        <w:t>常规就业率为升学、出国、考取公务员、参军入伍、国家和地方基层项目、自主创业、与行政事业单位和大中型企业签订了就业协议书正式录用就业的人数占毕业生总人数比例。</w:t>
      </w:r>
    </w:p>
  </w:footnote>
  <w:footnote w:id="2">
    <w:p w:rsidR="00603F28" w:rsidRDefault="00041260">
      <w:pPr>
        <w:pStyle w:val="af1"/>
        <w:rPr>
          <w:rFonts w:ascii="宋体" w:hAnsi="宋体"/>
        </w:rPr>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ascii="宋体" w:hAnsi="宋体" w:hint="eastAsia"/>
        </w:rPr>
        <w:t>高质量签约就业指与行政事业单位和大中型企业签订就业协议书正式录用就业。</w:t>
      </w:r>
    </w:p>
  </w:footnote>
  <w:footnote w:id="3">
    <w:p w:rsidR="00603F28" w:rsidRDefault="00041260">
      <w:pPr>
        <w:pStyle w:val="af1"/>
        <w:rPr>
          <w:rFonts w:ascii="宋体" w:hAnsi="宋体"/>
          <w:sz w:val="16"/>
          <w:szCs w:val="16"/>
        </w:rPr>
      </w:pPr>
      <w:r>
        <w:rPr>
          <w:rFonts w:hint="eastAsia"/>
        </w:rPr>
        <w:t>[</w:t>
      </w:r>
      <w:r>
        <w:rPr>
          <w:rStyle w:val="afc"/>
          <w:rFonts w:ascii="宋体" w:hAnsi="宋体"/>
          <w:szCs w:val="16"/>
          <w:vertAlign w:val="baseline"/>
        </w:rPr>
        <w:footnoteRef/>
      </w:r>
      <w:r>
        <w:t>]</w:t>
      </w:r>
      <w:r>
        <w:rPr>
          <w:rFonts w:hint="eastAsia"/>
        </w:rPr>
        <w:t>含</w:t>
      </w:r>
      <w:r>
        <w:rPr>
          <w:rFonts w:ascii="黑体" w:eastAsia="黑体" w:hAnsi="黑体" w:cs="宋体" w:hint="eastAsia"/>
          <w:kern w:val="0"/>
          <w:szCs w:val="18"/>
        </w:rPr>
        <w:t>签就业协议形式就业、签劳动合同形式就业、其他录用形式就业</w:t>
      </w:r>
      <w:r>
        <w:rPr>
          <w:rFonts w:hint="eastAsia"/>
        </w:rPr>
        <w:t>。</w:t>
      </w:r>
    </w:p>
  </w:footnote>
  <w:footnote w:id="4">
    <w:p w:rsidR="00603F28" w:rsidRDefault="00041260">
      <w:pPr>
        <w:pStyle w:val="af1"/>
        <w:rPr>
          <w:rFonts w:ascii="宋体" w:hAnsi="宋体"/>
        </w:rPr>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ascii="宋体" w:hAnsi="宋体" w:hint="eastAsia"/>
        </w:rPr>
        <w:t>基层就业指在县级市及以下就业。</w:t>
      </w:r>
    </w:p>
  </w:footnote>
  <w:footnote w:id="5">
    <w:p w:rsidR="00603F28" w:rsidRDefault="00041260">
      <w:pPr>
        <w:pStyle w:val="af1"/>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hint="eastAsia"/>
        </w:rPr>
        <w:t>西部地区就业指在西部十二省就业。</w:t>
      </w:r>
    </w:p>
  </w:footnote>
  <w:footnote w:id="6">
    <w:p w:rsidR="00603F28" w:rsidRDefault="00041260">
      <w:pPr>
        <w:pStyle w:val="af1"/>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hint="eastAsia"/>
        </w:rPr>
        <w:t>满意度</w:t>
      </w:r>
      <w:r>
        <w:rPr>
          <w:rFonts w:hint="eastAsia"/>
        </w:rPr>
        <w:t>=</w:t>
      </w:r>
      <w:r>
        <w:rPr>
          <w:rFonts w:hint="eastAsia"/>
        </w:rPr>
        <w:t>非常满意</w:t>
      </w:r>
      <w:r>
        <w:rPr>
          <w:rFonts w:hint="eastAsia"/>
        </w:rPr>
        <w:t>+</w:t>
      </w:r>
      <w:r>
        <w:rPr>
          <w:rFonts w:hint="eastAsia"/>
        </w:rPr>
        <w:t>满意</w:t>
      </w:r>
      <w:r>
        <w:rPr>
          <w:rFonts w:hint="eastAsia"/>
        </w:rPr>
        <w:t>+</w:t>
      </w:r>
      <w:r>
        <w:rPr>
          <w:rFonts w:hint="eastAsia"/>
        </w:rPr>
        <w:t>比较满意。下同</w:t>
      </w:r>
    </w:p>
  </w:footnote>
  <w:footnote w:id="7">
    <w:p w:rsidR="00603F28" w:rsidRDefault="00041260">
      <w:pPr>
        <w:pStyle w:val="af1"/>
        <w:rPr>
          <w:rFonts w:ascii="Times New Roman" w:hAnsi="Times New Roman" w:cs="Times New Roman"/>
        </w:rPr>
      </w:pPr>
      <w:r>
        <w:rPr>
          <w:rFonts w:ascii="Times New Roman" w:hAnsi="Times New Roman" w:cs="Times New Roman" w:hint="eastAsia"/>
        </w:rPr>
        <w:t>[</w:t>
      </w:r>
      <w:r>
        <w:rPr>
          <w:rStyle w:val="afc"/>
          <w:rFonts w:ascii="Times New Roman" w:hAnsi="Times New Roman"/>
          <w:vertAlign w:val="baseline"/>
        </w:rPr>
        <w:footnoteRef/>
      </w:r>
      <w:r>
        <w:rPr>
          <w:rFonts w:ascii="Times New Roman" w:hAnsi="Times New Roman" w:cs="Times New Roman"/>
        </w:rPr>
        <w:t>]</w:t>
      </w:r>
      <w:r>
        <w:rPr>
          <w:rFonts w:ascii="Times New Roman" w:hAnsi="Times New Roman" w:cs="Times New Roman" w:hint="eastAsia"/>
        </w:rPr>
        <w:t>百分制分数：就业质量分数</w:t>
      </w:r>
      <w:r>
        <w:rPr>
          <w:rFonts w:ascii="Times New Roman" w:hAnsi="Times New Roman" w:cs="Times New Roman" w:hint="eastAsia"/>
        </w:rPr>
        <w:t>1</w:t>
      </w:r>
      <w:r>
        <w:rPr>
          <w:rFonts w:ascii="Times New Roman" w:hAnsi="Times New Roman" w:cs="Times New Roman"/>
        </w:rPr>
        <w:t>00</w:t>
      </w:r>
      <w:r>
        <w:rPr>
          <w:rFonts w:ascii="Times New Roman" w:hAnsi="Times New Roman" w:cs="Times New Roman" w:hint="eastAsia"/>
        </w:rPr>
        <w:t>分为满分，分值为相对分数，仅体现相对位置排序情况</w:t>
      </w:r>
      <w:r>
        <w:rPr>
          <w:rFonts w:ascii="Times New Roman" w:hAnsi="Times New Roman" w:cs="Times New Roman" w:hint="eastAsia"/>
        </w:rPr>
        <w:t>。如：金融学院就业满意度分数为</w:t>
      </w:r>
      <w:r>
        <w:rPr>
          <w:rFonts w:ascii="Times New Roman" w:hAnsi="Times New Roman" w:cs="Times New Roman" w:hint="eastAsia"/>
        </w:rPr>
        <w:t>1</w:t>
      </w:r>
      <w:r>
        <w:rPr>
          <w:rFonts w:ascii="Times New Roman" w:hAnsi="Times New Roman" w:cs="Times New Roman"/>
        </w:rPr>
        <w:t>00</w:t>
      </w:r>
      <w:r>
        <w:rPr>
          <w:rFonts w:ascii="Times New Roman" w:hAnsi="Times New Roman" w:cs="Times New Roman" w:hint="eastAsia"/>
        </w:rPr>
        <w:t>，仅指代金融学院在所有学院中就业满意度最高，而非金融学院就业满意度为</w:t>
      </w:r>
      <w:r>
        <w:rPr>
          <w:rFonts w:ascii="Times New Roman" w:hAnsi="Times New Roman" w:cs="Times New Roman" w:hint="eastAsia"/>
        </w:rPr>
        <w:t>1</w:t>
      </w:r>
      <w:r>
        <w:rPr>
          <w:rFonts w:ascii="Times New Roman" w:hAnsi="Times New Roman" w:cs="Times New Roman"/>
        </w:rPr>
        <w:t>00%</w:t>
      </w:r>
      <w:r>
        <w:rPr>
          <w:rFonts w:ascii="Times New Roman" w:hAnsi="Times New Roman" w:cs="Times New Roman" w:hint="eastAsia"/>
        </w:rPr>
        <w:t>。</w:t>
      </w:r>
    </w:p>
  </w:footnote>
  <w:footnote w:id="8">
    <w:p w:rsidR="00603F28" w:rsidRDefault="00041260">
      <w:pPr>
        <w:pStyle w:val="af1"/>
        <w:rPr>
          <w:rFonts w:ascii="Times New Roman" w:hAnsi="Times New Roman" w:cs="Times New Roman"/>
        </w:rPr>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hint="eastAsia"/>
        </w:rPr>
        <w:t>会计学类：会计学专业原属工商管理科，此处的会计学类为单独从工商管理类中分出。下同。</w:t>
      </w:r>
    </w:p>
  </w:footnote>
  <w:footnote w:id="9">
    <w:p w:rsidR="00603F28" w:rsidRDefault="00041260">
      <w:pPr>
        <w:pStyle w:val="af1"/>
        <w:rPr>
          <w:rFonts w:ascii="宋体" w:hAnsi="宋体"/>
          <w:szCs w:val="18"/>
        </w:rPr>
      </w:pPr>
      <w:r>
        <w:rPr>
          <w:rFonts w:ascii="Times New Roman" w:hAnsi="Times New Roman" w:cs="Times New Roman"/>
          <w:b/>
          <w:szCs w:val="18"/>
        </w:rPr>
        <w:t>[</w:t>
      </w:r>
      <w:r>
        <w:rPr>
          <w:rStyle w:val="afc"/>
          <w:rFonts w:ascii="Times New Roman" w:hAnsi="Times New Roman"/>
          <w:vertAlign w:val="baseline"/>
        </w:rPr>
        <w:footnoteRef/>
      </w:r>
      <w:r>
        <w:rPr>
          <w:rFonts w:ascii="Times New Roman" w:hAnsi="Times New Roman" w:cs="Times New Roman"/>
          <w:b/>
          <w:szCs w:val="18"/>
        </w:rPr>
        <w:t>]</w:t>
      </w:r>
      <w:r>
        <w:rPr>
          <w:rFonts w:ascii="宋体" w:hAnsi="宋体" w:hint="eastAsia"/>
          <w:b/>
          <w:szCs w:val="18"/>
        </w:rPr>
        <w:t>从事企业创业</w:t>
      </w:r>
      <w:r>
        <w:rPr>
          <w:rFonts w:ascii="宋体" w:hAnsi="宋体" w:hint="eastAsia"/>
          <w:szCs w:val="18"/>
        </w:rPr>
        <w:t>：指在工商部门新注册登记的股份有限公司或有限责任公司股东、合伙企业合伙人、个人独资企业投资者、个体工商经营者中的创业者</w:t>
      </w:r>
    </w:p>
    <w:p w:rsidR="00603F28" w:rsidRDefault="00041260">
      <w:pPr>
        <w:pStyle w:val="af1"/>
        <w:rPr>
          <w:rFonts w:ascii="宋体" w:hAnsi="宋体"/>
          <w:szCs w:val="18"/>
        </w:rPr>
      </w:pPr>
      <w:r>
        <w:rPr>
          <w:rFonts w:ascii="宋体" w:hAnsi="宋体" w:hint="eastAsia"/>
          <w:b/>
          <w:szCs w:val="18"/>
        </w:rPr>
        <w:t>从事非企业创业</w:t>
      </w:r>
      <w:r>
        <w:rPr>
          <w:rFonts w:ascii="宋体" w:hAnsi="宋体" w:hint="eastAsia"/>
          <w:szCs w:val="18"/>
        </w:rPr>
        <w:t>：指在民政部门新注册登记的民办非企业单位负责人、法定代表人、合伙人中的创业者</w:t>
      </w:r>
    </w:p>
    <w:p w:rsidR="00603F28" w:rsidRDefault="00041260">
      <w:pPr>
        <w:pStyle w:val="af1"/>
        <w:rPr>
          <w:rFonts w:ascii="宋体" w:hAnsi="宋体"/>
          <w:szCs w:val="18"/>
        </w:rPr>
      </w:pPr>
      <w:r>
        <w:rPr>
          <w:rFonts w:ascii="宋体" w:hAnsi="宋体" w:hint="eastAsia"/>
          <w:b/>
          <w:szCs w:val="18"/>
        </w:rPr>
        <w:t>从事网络创业</w:t>
      </w:r>
      <w:r>
        <w:rPr>
          <w:rFonts w:ascii="宋体" w:hAnsi="宋体" w:hint="eastAsia"/>
          <w:szCs w:val="18"/>
        </w:rPr>
        <w:t>：指依法新设立的其他经营实体举办人或者经有关部门认定的网络创业者中的创业者</w:t>
      </w:r>
    </w:p>
    <w:p w:rsidR="00603F28" w:rsidRDefault="00041260">
      <w:pPr>
        <w:pStyle w:val="af1"/>
      </w:pPr>
      <w:r>
        <w:rPr>
          <w:rFonts w:ascii="宋体" w:hAnsi="宋体" w:hint="eastAsia"/>
          <w:b/>
          <w:szCs w:val="18"/>
        </w:rPr>
        <w:t>在创业载体创业</w:t>
      </w:r>
      <w:r>
        <w:rPr>
          <w:rFonts w:ascii="宋体" w:hAnsi="宋体" w:hint="eastAsia"/>
          <w:szCs w:val="18"/>
        </w:rPr>
        <w:t>：指在各类依法设立的创业孵化基地、创业园等创业载体内从事创业活动且不属于上列三类人员的创业者</w:t>
      </w:r>
    </w:p>
  </w:footnote>
  <w:footnote w:id="10">
    <w:p w:rsidR="00603F28" w:rsidRDefault="00041260">
      <w:pPr>
        <w:pStyle w:val="af1"/>
      </w:pPr>
      <w:r>
        <w:rPr>
          <w:rFonts w:ascii="Times New Roman" w:hAnsi="Times New Roman" w:cs="Times New Roman"/>
        </w:rPr>
        <w:t>[</w:t>
      </w:r>
      <w:r>
        <w:rPr>
          <w:rStyle w:val="afc"/>
          <w:rFonts w:ascii="Times New Roman" w:hAnsi="Times New Roman"/>
          <w:vertAlign w:val="baseline"/>
        </w:rPr>
        <w:footnoteRef/>
      </w:r>
      <w:r>
        <w:rPr>
          <w:rFonts w:ascii="Times New Roman" w:hAnsi="Times New Roman" w:cs="Times New Roman"/>
        </w:rPr>
        <w:t>]</w:t>
      </w:r>
      <w:r>
        <w:rPr>
          <w:rFonts w:hint="eastAsia"/>
        </w:rPr>
        <w:t>会计学类：会计学专业原属工商管理科，此处的会计学类为单独从工商管理类中分出。下同。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28" w:rsidRDefault="00603F28">
    <w:pPr>
      <w:pStyle w:val="af"/>
      <w:pBdr>
        <w:bottom w:val="none" w:sz="0" w:space="0"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28" w:rsidRDefault="00041260">
    <w:pPr>
      <w:pStyle w:val="af"/>
    </w:pPr>
    <w:r>
      <w:rPr>
        <w:rFonts w:ascii="微软雅黑" w:eastAsia="微软雅黑" w:hAnsi="微软雅黑" w:cs="微软雅黑"/>
        <w:b/>
        <w:noProof/>
        <w:color w:val="C00000"/>
        <w:spacing w:val="-1"/>
      </w:rPr>
      <mc:AlternateContent>
        <mc:Choice Requires="wpg">
          <w:drawing>
            <wp:anchor distT="0" distB="0" distL="114300" distR="114300" simplePos="0" relativeHeight="251662336" behindDoc="0" locked="0" layoutInCell="1" allowOverlap="1">
              <wp:simplePos x="0" y="0"/>
              <wp:positionH relativeFrom="column">
                <wp:posOffset>3810</wp:posOffset>
              </wp:positionH>
              <wp:positionV relativeFrom="paragraph">
                <wp:posOffset>-57150</wp:posOffset>
              </wp:positionV>
              <wp:extent cx="1341120" cy="297180"/>
              <wp:effectExtent l="0" t="0" r="0" b="0"/>
              <wp:wrapNone/>
              <wp:docPr id="99" name="组合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1120" cy="297180"/>
                        <a:chOff x="0" y="0"/>
                        <a:chExt cx="1341108" cy="297180"/>
                      </a:xfrm>
                    </wpg:grpSpPr>
                    <pic:pic xmlns:pic="http://schemas.openxmlformats.org/drawingml/2006/picture">
                      <pic:nvPicPr>
                        <pic:cNvPr id="101" name="1056"/>
                        <pic:cNvPicPr>
                          <a:picLocks/>
                        </pic:cNvPicPr>
                      </pic:nvPicPr>
                      <pic:blipFill>
                        <a:blip r:embed="rId1">
                          <a:clrChange>
                            <a:clrFrom>
                              <a:srgbClr val="FFFFFF"/>
                            </a:clrFrom>
                            <a:clrTo>
                              <a:srgbClr val="FFFFFF">
                                <a:alpha val="0"/>
                              </a:srgbClr>
                            </a:clrTo>
                          </a:clrChange>
                        </a:blip>
                        <a:stretch>
                          <a:fillRect/>
                        </a:stretch>
                      </pic:blipFill>
                      <pic:spPr>
                        <a:xfrm>
                          <a:off x="0" y="0"/>
                          <a:ext cx="297180" cy="297180"/>
                        </a:xfrm>
                        <a:prstGeom prst="rect">
                          <a:avLst/>
                        </a:prstGeom>
                        <a:ln>
                          <a:noFill/>
                        </a:ln>
                      </pic:spPr>
                    </pic:pic>
                    <pic:pic xmlns:pic="http://schemas.openxmlformats.org/drawingml/2006/picture">
                      <pic:nvPicPr>
                        <pic:cNvPr id="102" name="图片 102"/>
                        <pic:cNvPicPr>
                          <a:picLocks/>
                        </pic:cNvPicPr>
                      </pic:nvPicPr>
                      <pic:blipFill>
                        <a:blip r:embed="rId2" cstate="print">
                          <a:extLst>
                            <a:ext uri="{28A0092B-C50C-407E-A947-70E740481C1C}">
                              <a14:useLocalDpi xmlns:a14="http://schemas.microsoft.com/office/drawing/2010/main" val="0"/>
                            </a:ext>
                          </a:extLst>
                        </a:blip>
                        <a:stretch>
                          <a:fillRect/>
                        </a:stretch>
                      </pic:blipFill>
                      <pic:spPr>
                        <a:xfrm>
                          <a:off x="353683" y="8627"/>
                          <a:ext cx="987425" cy="271145"/>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103B5D0A" id="组合 99" o:spid="_x0000_s1026" style="position:absolute;left:0;text-align:left;margin-left:.3pt;margin-top:-4.5pt;width:105.6pt;height:23.4pt;z-index:251662336" coordsize="13411,2971" o:gfxdata="UEsDBBQABgAIAAAAIQAIrBnbFQEAAE0CAAATAAAAW0NvbnRlbnRfVHlwZXNdLnhtbJSSwU7EIBCG&#13;&#10;7ya+A+FqWuoejDHb7sGuRzVmfQAC0xYtA2Gw7r69tNWNbqqJR2bm+//5gfVmb3s2QCDjsOSXecEZ&#13;&#10;oHLaYFvy591dds0ZRYla9g6h5AcgvqnOz9a7gwdiiUYqeRejvxGCVAdWUu48YOo0LlgZ0zG0wkv1&#13;&#10;KlsQq6K4EsphBIxZHDV4ta6hkW99ZNt9Ks+bvHhoObudB0evkhs7CswNsQh5XGam+jISoKcTH+l9&#13;&#10;b5SM6UbEgPokTfaZJE/kNEOd8XSR4nK2bDG1fiT57vAFPqRHCEYDe5Qh3kubAgsdSMDK1U7lf4uM&#13;&#10;a1rKXNMYBXkdaDtRx61+E9fuHQMM/1WvE/YEw1FeTJ+h+gAAAP//AwBQSwMEFAAGAAgAAAAhAKdK&#13;&#10;zzjXAAAAlgEAAAsAAABfcmVscy8ucmVsc6SQwWrDMAyG74O9g9F9cZrDGKNOL6PQa+kewNiKYxpb&#13;&#10;RjLZ+vYzO4xl9LajfqHv+9H+8JkWtSJLpGxg1/WgMDvyMQcD75fj0wsoqTZ7u1BGAzcUOIyPD/sz&#13;&#10;Lra2I5ljEdUoWQzMtZZXrcXNmKx0VDC3zUScbG0jB12su9qAeuj7Z82/GTBumOrkDfDJD6Aut9LM&#13;&#10;f9gpOiahqXaOkqZpiu4eVXv6yGdcG8VywGrAs3yHjGvXyoHS98W7f4oD2zJHd2Sb8I3ctgAO1LIf&#13;&#10;v958c/wCAAD//wMAUEsDBBQABgAIAAAAIQCPv/Ze6QIAADIIAAAOAAAAZHJzL2Uyb0RvYy54bWzU&#13;&#10;Vc1OGzEQvlfqO1i+w/4E8rMi4QANqoRa1NIHcBzvroX/ZDs/3Cu1vXHvo1Tq2yBeo2PvbgKBqgj1&#13;&#10;0EaKNWPPzM5883l8dLyWAi2ZdVyrMc72U4yYonrOVTXGny6ne0OMnCdqToRWbIyvmcPHk9evjlam&#13;&#10;YLmutZgziyCIcsXKjHHtvSmSxNGaSeL2tWEKDkttJfGg2iqZW7KC6FIkeZr2k5W2c2M1Zc7B7mlz&#13;&#10;iCcxflky6t+XpWMeiTGG3HxcbVxncU0mR6SoLDE1p20e5AVpSMIVfHUT6pR4ghaWPwolObXa6dLv&#13;&#10;Uy0TXZacslgElJOlO+WcWb0wsZiqWFVmgxNguwPUi8PSd8sLi/h8jEcjjBSR0KS7H59vb76isAHw&#13;&#10;rExVgNWZNR/NhW1qBPFc0ysXzpNdg6BXW+t1aWXwglrROmJ+vUWerT2isJv1DrIshw5ROMxHg2wI&#13;&#10;cuwNraGDjx1p/ea+awo823FNSNF8Oia4SchwWsC/xRKkR1j+mXTg5ReW4TaIfFYMSezVwuxB2w3x&#13;&#10;fMYF99eRw9DgkJRaXnAaAA7Kti1ZmnV9ydLDfkSls2jsSahn246Hh0lQH4SeCW6mXIjQkyC3RcCl&#13;&#10;2OHUEzg0fD3VdCGZ8s0NtExAPVq5mhuHkS2YnDHgk307z6A0UlBhT2qiKtYqU6sjIZytZifCoiWB&#13;&#10;yzmNv1gdNA5cOisQL3XwfMo87BNhatIEaTgD/q0tkDPGCgEaqUsEtFB7jOst87QOYgmwfICZEWkN&#13;&#10;UbqTCOIWtwCpa+/Cs9jdEfp3DIUOWufPmJYoCIAdJBGxI8tz16XT2YRMhQqr0qGRbbZhKybapBZF&#13;&#10;yLThEwj/EePzjvG333/effuCshR2YBoE4MPN+Nd5D9lSePU8zFJjufLtKNvw6W8wrXfY6w97GMG8&#13;&#10;HPbzQfuJbp6OhoOD/LCdiYMsOwAZAATad4Tt2PQ8xj1JrDhY4V2Kcds3NDx893WQ7z/1k18AAAD/&#13;&#10;/wMAUEsDBAoAAAAAAAAAIQAUVXsp7REAAO0RAAAVAAAAZHJzL21lZGlhL2ltYWdlMS5qcGVn/9j/&#13;&#10;4AAQSkZJRgABAQAAAQABAAD/2wBDAAEBAQEBAQEBAQEBAQEBAQEBAQEBAQEBAQEBAQEBAQEBAQEB&#13;&#10;AQEBAQEBAQEBAQEBAQEBAQEBAQEBAQEBAQEBAQH/2wBDAQEBAQEBAQEBAQEBAQEBAQEBAQEBAQEB&#13;&#10;AQEBAQEBAQEBAQEBAQEBAQEBAQEBAQEBAQEBAQEBAQEBAQEBAQEBAQH/wAARCAA5ADkDASIAAhEB&#13;&#10;AxEB/8QAHwAAAQUBAQEBAQEAAAAAAAAAAAECAwQFBgcICQoL/8QAtRAAAgEDAwIEAwUFBAQAAAF9&#13;&#10;AQIDAAQRBRIhMUEGE1FhByJxFDKBkaEII0KxwRVS0fAkM2JyggkKFhcYGRolJicoKSo0NTY3ODk6&#13;&#10;Q0RFRkdISUpTVFVWV1hZWmNkZWZnaGlqc3R1dnd4eXqDhIWGh4iJipKTlJWWl5iZmqKjpKWmp6ip&#13;&#10;qrKztLW2t7i5usLDxMXGx8jJytLT1NXW19jZ2uHi4+Tl5ufo6erx8vP09fb3+Pn6/8QAHwEAAwEB&#13;&#10;AQEBAQEBAQAAAAAAAAECAwQFBgcICQoL/8QAtREAAgECBAQDBAcFBAQAAQJ3AAECAxEEBSExBhJB&#13;&#10;UQdhcRMiMoEIFEKRobHBCSMzUvAVYnLRChYkNOEl8RcYGRomJygpKjU2Nzg5OkNERUZHSElKU1RV&#13;&#10;VldYWVpjZGVmZ2hpanN0dXZ3eHl6goOEhYaHiImKkpOUlZaXmJmaoqOkpaanqKmqsrO0tba3uLm6&#13;&#10;wsPExcbHyMnK0tPU1dbX2Nna4uPk5ebn6Onq8vP09fb3+Pn6/9oADAMBAAIRAxEAPwD+9bUNSsbG&#13;&#10;xuL+8ure3tLe1lu5Z5544rdLaNC73EszMES3RAWeZmCIoYlgATX86n7aX/BaO+0fVfE/wu/ZDs9C&#13;&#10;8R3ujm4stZ+NuvQvceA9Gu7ZpY9TsPD2ggwXXiy/sNrhr6yeTTYpo/8ASZBDvesj/gsh+2nrl94r&#13;&#10;H7Gnwl12bSIZtLbX/jr4t029kjn0HSXsi+jeDoLmzfdbS66wA1O3DR3K2spk8sLuY/gj4f8ACfiD&#13;&#10;4za1afDf4ceGrbUdAury5j0bwvo95Bo0fjK20SF5b/xNqmp6hJHJb6Gt9bTR6jdtIlvemO5t/NL7&#13;&#10;wPzvinimrRqf2Xlb1tyzmteycYdmtnK121aOl3L+6vo8/R4yXEZLS8RvEajGrk0oRxWEwOJioxlF&#13;&#10;KMoYjFxqLXDzaTjGSdBUpc9RSk0qa+Lv2gfi38etf8SzfGf4p/Gn43a5Y6hdW1noWja7fx+FYbW4&#13;&#10;spJ7W40fw7pBg8P6do9tdMnntPdyNFGrBnDLXkvhLw5olvYi08Y/CjVdWvmsbqCW907xbYya9Hqc&#13;&#10;0/m2k8VkniQ3EqwJhCPL2sRsJ5Ir0Pxx+y5+0rZ67o3gjVl+HOgSak1zJpPg7RviJ8PbbRoba1Db&#13;&#10;ZLvTl1uHTJ7qLYSt7qOoR3EUil/JZ0K06D/gnd+17qll/a2l+CNE1DTjciyGsaf8Rfhhf28t6V3C&#13;&#10;zM9t4kaJ7lwQfsu8SurD5QCM/nXPm827KpzXs/dndSfJa+l1v9z8z+9sBm3hVhcupUaOecH8MSlT&#13;&#10;j7DD4aeV/vFJP2aVOGFTnTnJWXJG0kpWb2PUfhN8f/iv8D9StP8AhSfx3+Mnwu8SRugTwF4yhgvd&#13;&#10;CvW3DBg8OeMLlNGa2J4kfT55nWPcYsttB/fP9iD/AILQeFPiD4mtvgt+1DD4e8C/EmK9Og2Xj/wv&#13;&#10;PFD8OfFGtx7DI9zFetK+g61Kq+ZJLevHpzhj5RUba/nm0n9iP9sPQYF03V/BPhKfQBcLa3+g+KPi&#13;&#10;D8L7jdfFlVYLK0uNfU6PceYVWOJbsTI5XahbAPFap4fi+FGp+JPhx8TNHktNAGr/AGy9tjcQ32ve&#13;&#10;BfF19o8LWtxa+ILPc1/pd008BsrxZWt7kywmGR96bvaweZ8R5TyTqVGqSkrqfMoys4tpPTVxbWjv&#13;&#10;bW9z8p4/8L/BzxVy2phsLDDZxxZ7KbjjeFJUMK6TjaKqzStGVKFSUedTThf3WrtH+i4tzHLFDLCU&#13;&#10;kglAYMhDKcgEDI4OAen5VN5EX92v55P+CMf7eWrfFDS9V/Zi+Jur6lq3ijwJbSXHwr8V6+rw6h4+&#13;&#10;+HltHFIkMr3irNqGq6fbqs13eReaTbsJZXCqu7+gz+0R6j9K/Z8pzChmuBo43CyUYVVaS548ykuX&#13;&#10;3Z/3o3vdKzjZ+S/yr464A4j8O+K824azWSlWwtaLpS3hVoNtU6tNq94T5bOzajUjOnd8vM/86jxl&#13;&#10;8ZNa+LniP4q+KNQvrqH4g/tE/F7VZH1O7tZvs9l4b1bV/Nmgtb10EW3QXhsdPtSkhEenXDTDbD81&#13;&#10;dL+yZr8utftB+JV0YS6RpFr8OPFXh7RoFndPsPh+XV/CVnHF+6DSoLvTbRUvHjRmWebVbgqWu23e&#13;&#10;b6dAyeGfgA7Iy/a9I8bQW5YYB8STeDbKOxZSwCmT7cAVH3mKN/dOO4/YHt7a5+N/ii4vrmZbLRvh&#13;&#10;f4r8W3jr9njlli8LSaVrGo6czyMEjTUIdPuLcNJtjILnOEYj+eqOLeYZjOUr812233vF3f36/jsf&#13;&#10;7bZngMuyrwy4sw+Hpwb4b4dyzA0IJLlcm6dOEdPNxVlpb7j3vSfjR41+C3xL+LvhqxsvCV/p+t6Z&#13;&#10;dTaPZ+KrWDxGuieVLqKf2hompato2t/Yt0m1sRwWpjl2/NG4DDZTxx4k+JHwy+HWo6zNrj3Om+Jv&#13;&#10;EWpaxqEWqWSWovbCLRzDfafb2en2to9nbpcGJpbrAVv3bMHOD1fgXXP2dvHGs+KNdm0j4k22p2vg&#13;&#10;FfE/jDWbrxVp+l2s+g2JubO306+gsYZ4bRNUu9YjmQxsJJ2gjMwxmvSde+Lnwl8BfswaveQfD/Xd&#13;&#10;YtLlr7w54Ls9b8W6bbFtOn061utfuLCTT7RmuIHuIYF+0XA4lCh2DcV76aaipSXKr2Tv5PSy+09t&#13;&#10;d+2l/wAMzTMcFLG5ZSw/DlOPEVTF8NLEV7U1eCwns5zbctPZRbbTSSWiUndHjPjTxn4ds76/+H2p&#13;&#10;aT4g/wCEw1S48XvJ4ui8fpeaTE9prk0Wl6lL4f0/XLG2s7tEkt5GDuXjSJmKEIRXzZ+1PNbaL+1R&#13;&#10;4i8LatdyS6Lqfgz4V6Bqs9xmfKx/DfwRa2mvBiCN/wDbAFy0uSqqRIWwdx/SDw1ZfCbxd+zt8PtT&#13;&#10;1VfFHiiy+JHjfxX4F1bw54St7bW9ftLzTvDc/iq106O407S49TjuWv51sdQu5Jdq2y+ZIwQ5r8w/&#13;&#10;28dNn0X9rLxZoUtpcWNzpGn/AA50xLO6l82bS7uLwN4Eil0a8mzi7jhkUxFlLr5ikH5q4s8jy5Zf&#13;&#10;RKTg7u2js3bmvtaV7Oz0emlz6HwkxGX1eNp5ao1OfDYHjKNTSajJ/XuHo35bRs1KlNpqPLaacZNS&#13;&#10;seifs8fFXXvg18V/gB8bpZryyuPhP8RfC/hLxqrRyrb/APCI6t4sGkeKdPnktlMUcknhnNu0MjBg&#13;&#10;RtZfT+8L/hNtH/5/4f0/wr/Pg1qC7bwB8f7iC4nTSbT4uLayQtOAbjWE8ReY0sSE5k2p+8YoDtTL&#13;&#10;n5ea/r2+0fED/njP+R/xr3OF8ZLCYKdNUpVIuUJJJN2drNu1viVvu6br8d+kd4e5ZxRxJk2ZrF08&#13;&#10;FKWX16blNxXtoxq0HG3Po/Ztzu47+018v5APjLb6t8DNd174EeLI7lfHPwE+MniS20OSVS8Eq6dr&#13;&#10;LTWLFWGJIJtKu41BAKyR7gCQTn3H9hzwzNP+0vr/APwimnXOtaf44+CfxFuvBsFvZ+ZLrI1jR9Li&#13;&#10;07RxBFaX8k95aHz7VbaKwvpmvoNT22Vw0/lSftZ/wWO/YA0fX/FsP7YmleGta13w/p9rBp/x00Hw&#13;&#10;tGG1mewsl87RviTpcX2q1WSHShH9n12Nry0WfT4trXUPzyp/OjpnxOmtfio2mfCFfF9n4di1OKHw&#13;&#10;FP4S05/D3jPw9eyRJFc3Hhl9K1bxFc6oksxVtSsI545L877ZZFeUGvBzfA/6v5tyNOVNygm47unJ&#13;&#10;xbSdtHZtaqylo+h+7+HnG+VeMnhbXw3DcqFDN8LwtlsuMViub2cs2w7p2lVjTn7SdP28VOUac+eV&#13;&#10;L3oO7uv1Z+EXwT+OeheI/iMW/Z68RabJ4l8N6z4WnsLDw5d6pLeGKy8OX4uBGfD51WZpJLiTz4n8&#13;&#10;KxNZFZGgjMsYWuO079nHxfr/AIZ8c/DXx+9z8O7X4e6Tq9/4VtfiBb33hpri48T69Al9Zzapq1jo&#13;&#10;V7NYGON0skl0yJEO1n2gEj4Yn+NX7YcXiC1t5v2gvjHq+hWGspFr8ei+ONci1fQ7dJwbweIdKsy2&#13;&#10;u6TfQW6yObKaORQ6FGRhkHsl/aC1i5k0yO8/aU/aGudburnSrbVLO88R/ELbFbC7uhfKpbQljJsY&#13;&#10;fs8qlnVCZsMwAJHpf2hlKafK5WvdPlUbNLs09G0100WlrJ/M1+AeO1mP9of2hwFh5VPYNVoYTiOc&#13;&#10;6fLOmvaSda8HB07xcppe65e9fV/oPb/s6/FPWv2edM8VfA7wn44jufDHiHx5qVvr9nqz3gs9WtYN&#13;&#10;Psb3xB4Yk0XULS5vrfVbKFbASpaaij2dvdKZCr5r8w/2jlvZf2mPGnjXxG1zqcHhXwn8MNd1afW8&#13;&#10;yyah4nX4f+DbWytcPkmXWfECyTXiY3RyIfMAKmqP/C4/2odL1e4bVv2hPi74e0GKfU/7Gh1Dxxry&#13;&#10;eLtV0cyt5R0Lw0kmzVU2ch5SMgAkgA034f8Aiv4OfFdfiPoXxk1zxLpt7PYtceB/E2oa7LPq+r+L&#13;&#10;CpB13XXwGvNRuDtVvDxCrEDjbbxAa23Bjcxy7M6byqmpuXMpaWceaMWoqNldazd7u1kt9z6vg7g3&#13;&#10;iPgzOM74ozp0OLoezqQX+p8alGcKOIrUKlWpWdSSTpwjRTuo9Z7bS2/2T/A8X7RXxS+AfwH0efVN&#13;&#10;Y1n4gfEvQfEXxTtXtsxWXhmx8SC78U60WIIDy+GR5DMTgEgHng/32/8ACBaf/wA+MX/gMlfhT/wQ&#13;&#10;4/YB1H4LeE9R/aZ+KekG0+Ivj3Qrez8D+H79AdT8O+BwA1rfF2AMc/iyN0ubtDgqm3dy4x/Rhg+h&#13;&#10;/I1+jcHZRisJlUVilFVZyi/fWvLFJxsrabt7J6q/ZfwP9K7xfwnE/iXWy/hKU/7A4aozy/Ceylyx&#13;&#10;dWrOnLEPmi0pWlShBtNrmhJqyu3Rv7G21GxubC6hiubW7gltri3uIhPDPBNG0c0M0LgrLFLGzJJE&#13;&#10;wKyIxQgqTX8+v7Q3/BJ3WPAvxH1X9ob9hWbwn4b8bajYXo1/4WeLIS3gPxBZ3byTpc+FdVUFdAvZ&#13;&#10;L5vNurZibZ93zFFZFb+h/wD5Zf5/u1TPf8f/AGpX0+OyrA5nCf1ygqjaajK9pQlyr3otdbq9ndPq&#13;&#10;nufzxwP4gcQ8A5nPE8P4l0FViqdehNuWHxNJvllRxFN6Tg4ykrpxnG75ZpOSf+fg3wA+Ivg79ovx&#13;&#10;B4q/by+GPxL8B2GvXmt6hdeItK8OeJpvDa+LZporK2uvD3irwwslt9iika4mjmlxCsS+ZIdgNeDa&#13;&#10;d478P6t8dZNM1Xxl47074Hy+JrvTIYbvxd4k3W/hx4HheaMNkZSe3VlB6td446D/AEIPH3+r1b/r&#13;&#10;if8A0Ba/MrSv+SnSf9fsv/oZr8vxnC+Cws6dOE5NVIxnzSiua05Ri4tqS5ratOyfTzP9GfDj6QmY&#13;&#10;cW5RndbMuFcsjUocMUMGvY4uqoJ04KaxFKMsM/Z1GnGLUnUV4pqyfKfzJfCb9nT43+Lv2lV8Wfsi&#13;&#10;/A3xn4+8JaZqGnTeFNc1HTfEOm+EtOfULF4I18QeJ/GQXw1NsvpJWmayYybAxjIYrX7+fsQf8EUf&#13;&#10;DHwx8VWvxt/aai8PeM/iKxj1PTvh54bSNPht4Q1dvmkFzZOSniOeFyPLuZ02KwB2N1r9xvh//wAg&#13;&#10;mD/rzT/2WvR7f75+rf0r6nIuD8qy3EvEQjKrUhGM/fVo80lFtqN3ZtJK75u/a38ueK30qvEfO5Ve&#13;&#10;Hcnnh+FsJXy1ZFXx2WTlPOa+Ao+6qVXMnToycZOc21GlBpScU7SnzSWlotmqqihVCgBQMAAcAccc&#13;&#10;AAD0rRoor7Q/lVuTd5ScpPeTd233b7s//9lQSwMECgAAAAAAAAAhAHcGSTXFNwAAxTcAABQAAABk&#13;&#10;cnMvbWVkaWEvaW1hZ2UyLnBuZ4lQTkcNChoKAAAADUlIRFIAAADkAAAAPwgCAAABCMvDoAAAAAFz&#13;&#10;UkdCAK7OHOkAAAAEZ0FNQQAAsY8L/GEFAAAACXBIWXMAACHVAAAh1QEEnLSdAAA3WklEQVR4Xu19&#13;&#10;h39UxRY//8NPdvdu32x6QgIJkEIgBAghIASCFCEiimJDyrMAPhAEpIkUAQEpIr09fCooIC10BKQG&#13;&#10;DL0G0pNN2b78vmfm7s3dzSYE5b3n5/fj+xmWuXPPnDlz5syZM7el2ePHjz0eD36fLYivXqXiB43A&#13;&#10;7XKKuUZhUCvOnjqFDPFtER7KCkUY1Eoknj9/7tyli+eR0auoRK/T6IXm0lkAeam79+7dg4j8LPEF&#13;&#10;DILSoBXEPOPLT/PMN0u+5n1CXi8oLBbLg3v3pLMuB3UFvK1WK8hAgELie+1aPn7zLpBcTqeTn8Av&#13;&#10;DvUqgVeW+Go1gtmgR56DkwFc6hXLvna5XMgQX+T0Qp2KUVnMsbzb7cavWafjhzwhD0Y8g9/79+4i&#13;&#10;o4fsjCkg6uFZAfrkGeK7YtniVcuW6lTNDUomiNuVM2CA02ZLiI/l3e/TLdPjct68cQ0pIy2tbcuW&#13;&#10;/fr0unjxvMPhAIHrsTshtqVerXj06FF8yxiXx1lRUfaM5eVo1i6hrZhtGNLIPBFutxM9IEnT09N5&#13;&#10;EYCOQDsed93cA0eTTsPzGByd6gVpWACMp5hjZ3mmmTSU/BjYu+uXEJPRoCGFkuKYtfFTALQfYTbz&#13;&#10;PMqlTvzw7+1hJhNKkJrxUnZAGR0bHIfDToSs/O7du3NmzEDebrfTeMoaQN2+2b15nrPjZ0lSGJo0&#13;&#10;+Xh3bDYbP/zn2HEzZ8zgpKDBNCF6oTkODYKAWUVm6/Unu3/+RWQqV8pfBKYSdxrovnBo377r1686&#13;&#10;HLZzp848dnvOnj2D0Th27IhOUEk9gHLxixJkgvTq9oltjx09fPvWTZJUEFJTEh12W/uUdm6n68yp&#13;&#10;k3y+uke//y6r+7eD3NJI1iCdlqu4EaCj6DSMGAYuFnmBGV5bW42MSafmoyjBqFXzDFx/4cOHPC9H&#13;&#10;I+3aaqu7d+2MTLBB37VzGjIkqzQiyFRWVmKkBvTpw0s4OEf8wlwNKgWMSSqHX2kdG00G7/HQVBHq&#13;&#10;pgTOgmH3bhk1VdUejwvW53b69JMGGtNUUMi9MIqRrNbaEyeOgRX391gpUlLakawS9z27yYbl9nvu&#13;&#10;3DlrTRW16iLPjRK5alGxQ0rytGlTzp4+c/WPyyDgPpMDhxhBcFu3dg36g1bFEwwPCx4OHtCf8/QD&#13;&#10;8REUDx8+QF6nJCbLlixGx0RZ0Tkc8CmuVylSEuv8IgoxgqDBKSQ+3BylxSUZXTqBwM6mSOGjAprD&#13;&#10;XoCYdxt1X8rKAn9enp6aWlVl4QLxs8iXl5fys6Di5aBPaNWKN8oI2BqAHH67d8tk+g8AuaOVwNr2&#13;&#10;KUcb8qnAhZNEfCq0bRXDM1w2DpIVpu/9lUa/zgxkqF/oXwLJfIULwMftCVDLt9CHQGJIsh45cmjz&#13;&#10;hnUuj3vjpvULFsx/9KCgb1/MLffFC+dwNsRsgrE63c7Ro963260oSU1M7Ne7d2pycveMrpIiU5OS&#13;&#10;8BsdGYF2eQnaSElOAoHVWoO51SklpUtq6nfffmt32cHhyOHc2bNnotaNGzewKrlcjtUrlmdnZbVP&#13;&#10;SmzbtjWq/7h9e69ePVA91ByEGfLe28NJVl9N/H1RZ69/Q0DfYo7hGcrqNhvr4tq/CLiqo4cPGXXq&#13;&#10;8+fO7tjxIy8UZU3v3IkfNwS4caz0cvfJYbfbeAQAsD7XTYvUdoli7vHj3lm96lua0241asTYTQ6X&#13;&#10;0/H6kBydoAzS62CvFPGxuiSrG4tKA6qtra01sq0Jkt4bQ0uQgnruR+WygjsOUZf2PbSYBeBf+PC+&#13;&#10;5Ep5CYdOaI4SqDYutgVm9Zuvv8rLm/GJzFsARfvkRLBmRyJKy4qhzgtnf09u0yo2KuL82d95OSIp&#13;&#10;1gHy5KiILRAyqMvXJ5R/MGokMqwD9Ft/TBLbxmPtIAKZqOXl5SePn9iwZq0WMRtbsSEh4mk00QzB&#13;&#10;KjZVIOJtM9Z14whAZ1wgpOQ2cYyA8OP3227fupEY3xIlhY8ecQJ+Crief/VK3kU0869/bYNAwXq9&#13;&#10;fEkDOD1Sh3bJYhHD51OmjhkxEvuYMSPeQ/wrNa1TKZshyBJVC5lwjkXbEg7s3RMdEgqVDB00KPfg&#13;&#10;wdMnTkjWCXqwIHvyao5nOMrKyrD2vjnsNeQ5GS+XEBMRHrD84MGDiJwgIhSJIYJ2aZFnNtbs25XL&#13;&#10;kSt4UIAD6oSgbBkTVVFRwSpSCc5GhpqvXMlzOmh68eiYg8uHkflw1Kj58+bLjQflvC76iTwaFk94&#13;&#10;AT4SjVjEAMmOHDkCY8WpwYMGhgQZxROQFaSog9ydWzeRQTJrtfwcwDdFOQMH8FMGr1I5UALFgABT&#13;&#10;kA5lsnbv0jnCe+kBZDJZPe0TErJ6vYhCqG32jOnIyHcKJkHjZvnqKorvpISSZm4XSQNSHM+eNYvR&#13;&#10;+wDlixcv4nn5kB09coizwO+h/fvxyw85kOdaoCTQrySNXqvD4Ut9xE1aZFgII0MEzAuYghREDxt9&#13;&#10;eJ8iQ45mXdM78YBQ4uWHJpbbbbWSKQP8bEN1G0dQkIlXHNy//+6dP/NCgPlXX4v5OwChjJFd8pHL&#13;&#10;RrL6QQqU6sFfSaz3dcS+1QIzkTQtUzlRyg55RiyUx4rNiMiDsK22pqbGrFfDIhGAobC6qrK0pCij&#13;&#10;S1rL8Igvpk8dmvMydgcOh12vVNqIuApHV6/+gQkLx3n/9m0owKTXd+3SkXs9TH+wunThLDbNn3wy&#13;&#10;Dm3C+Bhzt1GjdNixw6b189iRQ6A8+OuvkNDtdo0dNTpncM4P27ZplAqTXjdj+jSc3f3zzvDQEIjd&#13;&#10;LCzY7HE7OyQltk+k5RsVYiIj2qckt2+XVFZW4nI4V61asWrFyo/HfIBmUpOSkdI7poIQ/UmIj2uX&#13;&#10;nJjSLolrBQP39aKFnA/CUND/cTnv6NHDXy/8KjW5ndMN2VxRYaEdk5M7tk9Bu/fu3E1NSLx+Ld9m&#13;&#10;s0WEhUJHaB2shg99DWzR9JKvF2FvU1VVFRMe7n7srrOBlcu/2bJhrXjwHH8Nolqrq2lfGRcTxQ//&#13;&#10;5+CGLR78/YB5xC/s+V1HkCCqFSs6LR2Cz2L/F+B22e0RIeYDe/dy39M44FB6dusmHhDcCLOxmuvV&#13;&#10;/kGkhL59sn4/c1o8+FOAe4oMDXZ5r4U2EXy1u3/nNtSV83J/l8t56cIFeDRIq2VhKycT1ep0OXQq&#13;&#10;ChP5YssLmwIQM8DVON8Y9joGkIaHjZBW2bzGYkHDImk9oBp+Z8+aiUZRBW6blwAmnYZKqA8BRgWG&#13;&#10;rGMBGpjzKvg9c/qUAZ6euiBIfBqBw1bLmqiLmRqHWkXxoLWmGrX+MfJ9h70WywVKeKMkqoyNz/rq&#13;&#10;8bi0yhek685yIPwNaPCYrXWqVCs3rF87ecJ4ZFAoUjQA9CdIT3texMmIB0ky2YiajRSHYUHEYurX&#13;&#10;bn5+PihxNiWhNU7Fx0Txug/v3oXw2Nk0NDH9cPkSbbhQEXm0q2ve/M6dO/xUQIx5/10EfKAMNenn&#13;&#10;zJ6Juq1bxeAwyGRAHouVSMdAak3v1DE2IsLPl9mstmCdjkedPPXvkyWeqwc3u9gJTSGfl3eR6KEp&#13;&#10;qS58C7uuJKFHRjrKmW+iOeiw20VKhFXeHR8StlNOB8bYRzCiUSttNgrsAe6+MDBwdjhc8c0SXjcy&#13;&#10;IpwTyIFwB93EpiA9rSMnk5Lfvk0GT6uoKIfD9sMPP2CME+JjOf1rgwfDPDdvWC9x4Am7dqu1htQK&#13;&#10;Y8bxi93q7hbJDRBKyTtPNxMbAc0FiZ6l/n16YyTReTgdHJ44ckgkZYBBEZkgwFgwGNz63nztFTrn&#13;&#10;YbdFGRM+Tn4AW34KmT/yLg58KRuFubm5KExLSeE0jUAr7xq0T7HbE5zA/Xv3IGF1NU1/LmqYyeR0&#13;&#10;2DG5YVCojrCPc8PZDintMINJrWHBQbwDIJB7AM4Cwwit4RTFcr574/BgujWGMfjjSh4yOEThzp9+&#13;&#10;gF5sNitsLDIkGPn8vDxOLwdnHhUayjNIt67fwPIvNir++lxL4NCxO9dt41q1bhX71hvDIFv+H5cl&#13;&#10;O4CJTJw4USRtGOgvp3/91SFiUcMY8vJgUOYe3I88BAs1mUKDzWhRkvzixYucUgKpFeE9KBLj49ms&#13;&#10;FB0T3TFhdaQEmvpua/FX83HKio1xVRWiCGj/veHDUWLUiDaI6YkBFall4MsUpjCmOShRF2OGzOBB&#13;&#10;g3CWPAldGApgraDkjuLWjWu8BI3ytg7tP8BLGgGGgesUzGdN/5xXRInLSXYnEsnAmNOYPXr0CIdw&#13;&#10;NVxUlHdOS0X5Rx/+I7tXT7PRgC4ntW3DmZBa0RIfbdREac/MrsjzBFOdPu2zxhcB7rNFeoHGkAwK&#13;&#10;ogu0KDsb2GD27t6d6NksWbViOaurWLHiG6sVXth95uRxlPDLj3JAPO4i4M1ZgbuyshIbG5TwxK58&#13;&#10;0dVFdlZEZESERMDTxvV1G58XM7vJT0EVCEsR2YinWaOSBk6ePEm6wsrhfaDCpNasXLZ849o106d8&#13;&#10;9lLvF2fOnA4yUuutG1dxWvIDkAxLcElJCbFpAqirGjWqYHjEokaRk5MDDWa/+KLLWRcerV69Gr8A&#13;&#10;XXL29lDvvTEqBwYMonLijRs2QIkpbRNKS0uxs37w4D5G1GQyiKQS2M3y8rKy0aNHl5eXS3c7JeAs&#13;&#10;lk1EAtzdiaW+wPRK69Befnbr5k0QsrSoWDyWgdRaUV4O4dq0ptszQJN0858F5p3AnskJ3MP/CaBx&#13;&#10;o0GPFXjKpxPsNut3q1bxeYOlTKSQgdT6HE8F6LeqqlLPFo/qGp9wVYLoW+G/ESYsW7oURk7ewPN4&#13;&#10;5dKls2fNunIpz2V3zp45HQ5l765daWlpGBydSjh9+nRRURHqpqenw+/ERkSBiU5Qo/qQIa8M7t8f&#13;&#10;EYWJbla6jEajVi3AR4ebDa1bxyMTEWKiFlUqRO8ggPdYvHgxRKSkIg56vR6/dptdp1S0iAzzuOkR&#13;&#10;ElSEJGiROTUFJiyWu/Pnz/ft2xdrCJpDFTV7OCZIry4vK+3VvYfb6WobH4eIym61aTRq1Ao2aLDm&#13;&#10;tIwKO3ToEMmgxnqluH///kejRmG+Pnz4EI1CjNjYFhAM3ECjUau5tCYtbd6YojzvvPNOm9hWn3/+&#13;&#10;Ofq+ecNGUs7evXSVQGgOiwa9V62kSteKZYujQkKQDzGYVn6zFLG6XqeB89YKioL799A3dGDUqPcn&#13;&#10;TPjk3KkzpSWk1syunT0ud7Q52ON2fb14IWQamvNyzoABWFK+W7EiNSkJ1VHIXIsbsTRCvOiwYATk&#13;&#10;lsry9Wu+O/f7aaiVlMVjKQ8nJsSEhWNvGtcyBo2i/4wDAb6V9so0iqpLF85i240qoAEfSL5t2zao&#13;&#10;taa6KkgroHrLyCiMytxZs40acR8MVpfzLkYFB2PpZ41CSx4d2wsMHDgwREcbv+iQUOzF2yW0TklO&#13;&#10;xDQfP+4jGNO8L+ZgecQOW6NWXbl8Kb5lDK1sTpdeSYrOysq6c+cWOhtuNotqfY5nDlGtNGQNrIDP&#13;&#10;8ScgqpXmlLKhTfFzPDWYb33s2bRhg8Hr1J6jKXC7XO0SEsSDeiC1YvLD6yM1vpv6b+LvI0l9lJWV&#13;&#10;XL2av3TJ17FREWJRPZBasWLSdSZBfGz/f45TJ09gjKWnCf8+6J6ZgZDD43HpVLDC5jZr7cN7965f&#13;&#10;y/9w9OjqKotIxEBqxTacqVUZbvZ5TOtPA+OUn5eHHS3CFLGoYSBYyur5ootdLeWw22y0eVUprbU1&#13;&#10;YpEvsLoi5sN6IB7/KSCe/+WnH6W4rSnA/vjUb79RrM0uXyFz9/btwwcPUiit8tlukVqxDRfvHPje&#13;&#10;mf8TQHWyNTZIYDjyvSc88A36FpHhkAlV3N4eQlxSq1pZVVnOS/wAAhiL0/e2G3R95Mjh7N69cFYs&#13;&#10;ahTgACER4YrHjcJ75cWtEZS5+w+0bhWrp6t9dMWupqYa8mPBl14RAPiS5d63Z5ee7mUpjh87xk80&#13;&#10;ERSXITLzuK/k5YWHhupUL3CN6AXl4vlzHfYA9284ENKjItSqFZqza0LKCePHeU/RhWoktyvg/UoP&#13;&#10;9jMQNTQ4CBqk1tnwGPV6/ize5bxLnK5xcLW+Pex18bhR7N79S2ZmN8iLfmE/gukIdblcjtQOHYxK&#13;&#10;arSIXTaUQGoFoFmHrRaGDQpe0kRo1NhxKsiHQBFokhkp0qZ1jT1yQIoTBGzPeJ7UqlYG6cXnHaEj&#13;&#10;zoQ/AuyH2tpq6hsIyMYVrK6CtqGs8Orli1zRTwRvtGdmBj9ErUYqYmZAOSDQUbsqg05jILXSoMa3&#13;&#10;otswYCCSMohqZfAUPngQpAtwLQ79HD9+vHjgi4rSYuohS2jYVlvD89Lj+wHxwZhRRpWCbte6XBMn&#13;&#10;TuSjEhsZxs+ikDO5eeNa/ZDAe/27eVVlRVmJ2Pqmdd9Fh4Yi06Z1XCPakQODAfr1361CPi8vz6hq&#13;&#10;/H4t7EBUq9NuZZcu6ZDeeGP3N0UqL+hpIdI6Uzb+SZ6V8m73zzt28lGliwYNAMqhW6eCcii7sM9f&#13;&#10;mAPXU6dO0Y0jJT02xCk5KivLuWXBnyKZ9RreRP8+9NQultroUP68G9k+DNMoG+mCggKqKKj4tVpI&#13;&#10;iLEEDfIQ2eGwEWeV6p03hokVAoO6TFNTUIaZjOyCizIrM1M86Qs0QSrC9Gd6hJe7T5dHyIbiY2Nu&#13;&#10;XL/O5KFTX8yerRO8D2NSAyqF1eqz5uLckUOH9cxr8ISa4rlASIyLR0tw0MiLD8vKbqCyB6HkEO+R&#13;&#10;pHZoh6YgUIiBvS5GGvG58/pqzmAQiJUYTrG7BhgGflhdXUX+VFD27NmDlxATVpd3zw+1tXR7/M7N&#13;&#10;G/yuqDwVFwe4Gk3wuHr3IOZcrVxyLFBOu51Up/DnAwsDcTNIRnNQpazxXjocNGiQvG9IsC9+qiF8&#13;&#10;/NFHIBvx1hv0Fh6rguZzBg7QKsUVzHcuY0WCT3wBPcc0l26Frv12xR9XrqQk0UUjnrx3VmRg92V5&#13;&#10;XZwLDw5OahM/4r13QYz5hFZCjcYWYWFBWm1AtQ5//VWJuZQg6p6fd/r6xjqQKtmVUqgV/KkVCpxU&#13;&#10;MeFh3Mz5VJMn1GpWXlZKvl+2xbJYLHxMeNLJHjZpCOvWrpXoeeK+lRsFuPlx0GES0X1s/CpMGg0I&#13;&#10;JJoFX86rY1JfrY8fZ/XoZhBUP/7wAxRHYRbzBughuPmZdn2wEEJkjoRG79253XjviLmgqKqqwm+o&#13;&#10;SY9a6NTGdWvIMZBvQOvuHl3psQfOcPPmjagFJ0BbrO5du3AuHDDvFlGRnDQ6QlxJ/IBeDckZVFle&#13;&#10;un/vHlKfoPxp+3Z6DoPd/eeyQnfgUPSIHveWg98JhyIQ65F2aFxFr8+r8MRDBT/wO10lRYUIGyNC&#13;&#10;QlDC1YoZABVD8kbU5PS4sUnZvWMHmgOTprxKAm6gNGm16BQME26dzwP8bly/HjZ34dzv77/9Ls4i&#13;&#10;HJSaJt+KNW7Lhg04kD8kQAbPbLZLJ/KM4ILlgp/iIHUwgm9XLCPr875JBv+IeY0McYbu2JOurEYd&#13;&#10;Xn9lEJ2iNVS8741+QiY4dJYn40WmvlorKytRjkUJqxPNR6cDwURkuHeJYzwbUSsHomkee2Cu8Mdq&#13;&#10;GgHdm6AWBfSiS2p7uE64KfRXmvuSQcjBliyh+ZKFCyANjE66/8zKqW/hQUHfrlqBPCIbfkqC2UBP&#13;&#10;yjkd9t/YLp73B0sW8lB6UpvWqN7CGzbJcSj3AF9buHCQLCLYTMPA6nIXhnI/tYK/dFMWafXKFTab&#13;&#10;Fdse2tSxwaiqqhRJG0VEqJnT4xcCYGsvnggEii5AzG4fvP3WmxAbFYP02vKyErofIfi8YCkBcSvN&#13;&#10;QR3F1RTriMWPHz8qeAB28hQVJr72LQH9p+iPvWTK3+RAz6EayGrUkF4gAX+D0w9iRRU9m4XW4RNQ&#13;&#10;MdhAEw2nQCBGafWsFaqfNH48W7UwcuIkKC4uYm35PLMXEGhl6VdfgRJNFxY+1PMtu6AYM2IE3Bc3&#13;&#10;Cz/8fuY0aBA58UMIgBAQGXQZTFD3668XZXTubGKvO1ss4usstB0Y/uYwFKGf99g3HsC9TRy9G8QT&#13;&#10;asJ24mOi3nrrLVbFB/369gHN9q2b8vOvBBvrnsPgiUcbAcFMjF2tYM+Kdu2UWsOei/GeDWCtgN1K&#13;&#10;2w1YAHbiYhH1kHkbmi7kWP2048FZQThx4vjly5ckY48MoznE1pU6Vz7vyzngwGtJgAzgPHLE++Ix&#13;&#10;6cf9y44dMFWpopSYDNQ6bQfGf0zhEfwFjmnuy+hgd5bKxmaWaHecKYVNzemXnmohc5NeRvIDGSnm&#13;&#10;oKCsKC2Fu0DAhENEIP8YMwpi0wRqwLdyp2FmN/JABr1MmzqFjwETgBKiPXZWBDrIz0oJUSe3dGoJ&#13;&#10;G2WZZpEigk0VFWW8LkdNTQ2fB+hs966dmbHTJSsQQ8633hy2fcvWZYsXj3znnQ7JbUW1grORbvYq&#13;&#10;41rQE+5SCKJTqQI+6FofRnhYasAvOH28b98+MecLpxuLIZMJq5mdzDM0NATywdLEh8K9qb5vhZtC&#13;&#10;+cD+A3BoZI8W1yXGE+lq/h+cXsLN6zdgsPwsAnioUjzBgG5Kn1KBvjqnpgQM7Lp1TsMAhAeZ3U4X&#13;&#10;tJx36SJzAkqmcH9ArYjLYFzKnewN0yNHjoB7sMHAtd4U8KmU07+/ePwkQIOwl7yLF7HI8hJMkerq&#13;&#10;arQIDBjgfWVNHeCJ+y+/mI213sreWsMoqtmKfDT3cGlpKQ7Hjh2LQ0xSTlwH8HV7FixYsGjRImrD&#13;&#10;1wdTiccDDtho0clAqKysQB/RhERA05rirQBhACBGAoixyNRZG+++9XZD3AMCxHSRL9Ab/QFB9MQ/&#13;&#10;MD1OtWvbBjod0L8vI/MBLSsM/FCe/48CCoUGrbV1V9Rc8H4UFTSgVoil14ghES8KMAH+u3A6HMmt&#13;&#10;23gC7T7/h7hx/apBqTBoBGy4HXT/gq5FNKhW/p+fu3mOgMDuY+qnn9LFHbarxG9qSnLA6SKq9Tma&#13;&#10;DkSurwwaqBUUkSFmhztAVA5wtcJU5dbK83UlbECeypyfSCzF3qAMTIzzoPGSSZCIG6woB6qjJfHA&#13;&#10;i3o863rXAEe5tGJdXiLx9+NJal2yaDG2Dmo1PVw2ZsyYKZ9+igyiH1QxaujVVLo+xJ7UVavVpYVF&#13;&#10;ly9fRgaHWKn1Oh3CoK/mzgsPCysrKsnIyEATCJXj4+PhWBYvXoyIjZZE9gICD2zv3rmzbeNGePN/&#13;&#10;jh9rqag4cvCgRk3O/futm04dP7FmzRpUAfPk+LaIZ2tra2dPn0kCCHQxe9+uXchD1H7Z2Qh0NBo1&#13;&#10;lg4Ig1NqQV1bU4OK/LLWqy8PtlqtWuUL7ZIwT+laF2RA7xGWojnErf8cNxaF4AYnDoGDdHR3oFVs&#13;&#10;S6zvEGDy5Mk7d+zYvn07+og9GCLxS5cuWsrK1AJdHNAJaped2kUVrUCfgUImKTERAheym1qk1qWL&#13;&#10;F2Mrxs+hPtpAJtIcnN6ls1mtmTTxn3ZENLXVkHXRVwu0anbxkW0noKkgLVi758+fGxMRgg1lds+e&#13;&#10;UCuCxJoqy887fsIuC5ucwf37Hz16GNudUJPx5s3rL2X1CjOZPv7gH3BVVZbKo7m5YNQzIwMMMXgt&#13;&#10;Y1pwziaNBtNNq1bOmjX9xo1r/OnwvXv35P9x5cGDBwOys0GkVynCg4P5zjIzvUuo0Yi6SxbOP3ni&#13;&#10;2CuDBwUHGV1O16ZNG8BvzOiRx44cxdkwvSFIq62trZkwbtyJw4ev5F16Y9gwp8N2/OgRp9PeMjIS&#13;&#10;3TRqNVMnTTQbdLt3/YwtB0IrCI8BwN40NTkBqmgdGw1WOkGxf++++7dvPSq4b7XWIPjdtGEd36eR&#13;&#10;WhfOmyeplXYsggDLjjCZMjp3Mmk169d9V/Dg3oHdu4sLiyKCzVr2upykVgw9Rn7Rwq9iIkOrqy3s&#13;&#10;VhipFWzBagK9nO1kt7XdpFZzUHKbOFSHKp12K4J/uVpRceuGDbAU1CWLYHGijqmVX70FoFY73c31&#13;&#10;eNXafMqEf6J7NG+45Nj1L1liVKuh1tjISPDpmZEJSefOnYPqRYRH4NwzM3PC2HFoBqw++2wygsuZ&#13;&#10;M2eiObNBj98QoxFqxaBi9wE10TUmDzZ4L1RXVtjtVoNe2zImkqv14vkL534/c/r06aqqqq1bNpWX&#13;&#10;l2s11PdmGPzYqEi43g6JiXv27MKIlZaUHDmc26lDB2itQ/t2+M1IS5szZzaUe/jA/lpbbVavFzsk&#13;&#10;JYIv6o/9xz/CQ0MgQY+u3bD5yOjSGRK0S6YXyrt0TMU8hYtITUxEcjntXdM6gv/gwYNLigpDg0wX&#13;&#10;L16wWCpP/XYSTbz5Bt1Y3rFjh3T7Z/v2bRGhIdDXsmVLpH3BoUMH+d5v1LvvQtcdkmkhbp+clJnR&#13;&#10;FSP3+eTJ2CCtXPGN0+H88B9jYKoRYSH//n47VNMxMal9UqLrsbtFZMRHH30QERY2b84cLhg4tGkd&#13;&#10;N+a995BZt/a7qLBQmMKir+ZDKmzroeXr169Gms1ot6qqEqyys3r37N7d6XLw1rtlpGf16A6R1qxZ&#13;&#10;HRlkdjELeB4J/Efgr1aoH6M0ZcqUxl8AfY7n+O/D31gddrtRJRiVyulTJolFz/EczxTwhlgrpeWy&#13;&#10;6agzVto+uN2tWsSwS3KKrB7yj1E8x3M8M9y7cwexcIt6X1p4ImTG6nZv3rjBe/uEbrL+Cdv/fxjY&#13;&#10;pOz7dVd0eEhJSfHTavn/T2BXzG9NIF9eXoo9FDbMUezRA+wlPxj1Pj/VdNQZK0yTHkxhd73oQqIg&#13;&#10;DO7XTzz3dwL2otjsAMiIRc8CsD9spvi2ORDc361ayW+VwSsg3bt7908IACVfv3792Ur+tODdxO9/&#13;&#10;Wowb169CUd7n/t0Om1XPFSg0H/nu21B4UdEjLXvv0y8tWbIEZ+ubcp2xWq1WekKVGyuzfZ2qeWnp&#13;&#10;3+JNE6jV7XQUFT5qn5BA/WFPlWA6VVsqXU37yxuNAHpxOZ2xkRE6pqnZ06ZhIMVzMqCQnsL2Jmi8&#13;&#10;yvKEZyj9gIbSO6Wi4ufTpiAvljYADBX1GrKxB8rqj9yfhtMBo6G3SfQqxZ5dv8B0xRPPGhA+MtQ8&#13;&#10;fPibyGOWZqZ3plEj7SniW9J72pwMXQPlm6+/xp9/YLpV/HHlSv0u1xkrRv3kiWNwrl6OxFQnNIcP&#13;&#10;Eyn+K4DcEmy22jlfzJI++CIlUjTpWhkZHuZ0/qVYBSob2P8lDJ6c/0t9ejvrvQcC3fHPnfGEka6l&#13;&#10;Z2qeIh6AuUeFBUNyeIFjRw6jg+IJX6AcUnXr3Jl8B2tLp1Tu3PnTs7JXu7UGAhBnenBN9f2WLeKJ&#13;&#10;Z4Hdu35uHd/K2zX3T//+ng+WQak06/WwJbu1GqqDX7BYKkH24MGDjE6dIIZXJKFXt25+by9JqDNW&#13;&#10;DtS/dOGcgbwX2Qd+g3Tq/5y9YlR27twxbeqULp3SWrWINunE50f5IAVIggojhyW4oZF+IpgpOK5c&#13;&#10;ycP/vAQywIxKioskk+W99msCh77GSs9Iolg83SgQYlitNeFmE9cqErYEXdI6Hjp4YOuWzTB6+Pby&#13;&#10;spJ9+34NNgdJNDzhcPTo0fBMz8pYK8tLpJ5C1d27dv7TyqyP3Nxcdk/thTvsQWxAXI5Uqn59ejuc&#13;&#10;9tEjR6Dv9EqL04l2LRbL9m1bgrT0RCCS2aAJuKxx+BsrBxwzlAszh6aQNrCHiZ8ILhyHWPQkYAwQ&#13;&#10;dPsNj5jYvIcM8kJo2eGg74aI9Z8S1dUW2LoRM5seGqUR4tKiv93Su8hDoPrGCpsOZl889NIobbX0&#13;&#10;tx94fZEoEMCnb68eUh95BgOm57/1TJPFOZKzEO7cudU4/6fF7ZvXvdtoSiPfER8A5R3ZvnULVtdl&#13;&#10;y5b92UY9HdslGgTF/Tt3OUPRWOmvE1H8xhpV8M8yAlDOvXt3aLPEyC5dauwVRdFYeU2el4CS8+fP&#13;&#10;8++71wfOoiUKgz102Yz+WlSQAR4eMt29eUMkagJgBJWVlXPnfmnUaqTtHZj0yszk5kJ/FkcWzXj4&#13;&#10;1/wopHNevXo1Mix0wdwvsWqjhDMMiC1bNunZ3XKJT0x4WHyLFmgL3oVMxNducga8JNYUlQMxHfKY&#13;&#10;VZ5Q8aMxI0EhVpABW5mEOPEjj3DG6NesGTNAyaVFB6d/PhWuiBMUPXz0mHUCZ2sslQnxcVwknVqY&#13;&#10;MW3Ko4cP4KGhbaL4swDng/t/heejFpmeix89gnv74ovZ0SxEIQ/l++xeUyARuzzunT/tQI+wGqMQ&#13;&#10;PYJ6Ec7BxcyeOZ09yyym8lK6qGIyGSW1IwND4twAaMlmtfI8Z07Gijrnz55pn9QWTF3MVfBzAQFp&#13;&#10;QOCwW3tkZsAxSG1LCU32fjHwe3iNw+NymzTMdTElrln9LS/Pz78ivjhHzFV9e/ZEE1IPveX0wVEI&#13;&#10;z6vUBxb96PC6j0MyDsognfZafj66D6D1aZMmSQyDDdpbN64dPnRwQHY2hJHKpcQtL0irGTp48NaN&#13;&#10;GxtavCZNnCDNNHokg/0JKAmQKj42hr/3jF63iAi322l4xNOPH2f1zEQ5r844NF++bCmkFU83Chpk&#13;&#10;H9B8O3Y41091fgl2tmXzZpFFk4Dp42oVHVVY8ABN4LigoABMrNZaNPn+O8N9BouNbGJc/KnjJ75Z&#13;&#10;uszusH726USxXRb+TZ4wnr/hINIj0RtEZ3mXyVgddpt0HSBIrykqemR3+e8QMRi3r1/P7NKFGMnU&#13;&#10;JyWUh5lMGLbCwsJGwo5GAIE+/uhDidvq5UvR+dra6h4ZXaRWxITR9T5bLiVU+WJG4I08g2f8xx9w&#13;&#10;LUCVoSFmLyWN4Y1r11pGhfv2C5TsbW9qyCcU4QnTxlLp85mLgECnhr82jHPGYEgPj0D3EGD9mu+I&#13;&#10;FWuI2qI8DWdpYSFGGgRdO3akQEiWQoLo41qcSeMoLy/XKP4Pf9qfJy554AQJWU/1Wq21prH3ffyA&#13;&#10;iQVRU9uloC59kcHzeOHceegLN9b0tA5QFMTulJYKj6NVKassldgTY8GZN/dLKMRfjAbSu28PR1tk&#13;&#10;rOVlpbKLVgh+Ffn59FdK5ejXr1+DvWXTZcTbbwdcB5sOjMHBA+LfLmkoIeL8dc8uaAH0Dwvuo/OS&#13;&#10;yaLnCXEtG5GBfSOTEQuqy+fPXb2S16ZVDEVRpE2571SEBunr+HgeW8or6s9PqL6JD51jaWN/+ZAm&#13;&#10;eVx0tPSHA130sdrmWJ0QBeEQneqURn8BgzFXLFm4kEyabKFeajLu3L7NGQZOUJ0SSdUtI8Pve95P&#13;&#10;BQzcgQMHIHNci0h0dv369TCVyxfOOm3ilw+QjGo1jIS2VvTKDWxUYVSrUAiXzJ8ZPHhwf5Cubksg&#13;&#10;Jcivo2+JxqMhMla7zYZ4jo86010FtwY5IBBsulVsDLu25bMsQkoYQUOXGxoCmgBPgHkZ/O/E7sfM&#13;&#10;P6pL1k8TIDI4JCuzO/MoYotfzJ6NanzEKsvKQCOKraIX+hu/ZAj7M2iZjyQDpaQVlPR9ILvd7XLd&#13;&#10;pCvYvDvK1SuWi3XI/znCTUFE7+0vT2Ssgd6BqQ84SJNWNFbIuXjRIvQWAfeP/96OyVZRXs6UQArJ&#13;&#10;z/9DMtbk1nFMM38JLre7Z48ebCFSGRRKvcL7aRLeBY2qhp5W/autQHI4AuqgWrlp4wb4Tp4XE70/&#13;&#10;qTx6+DD6jLGTTAuHv5/67bOJE4qLsRTbcSpIp+d6hjWHGLXvj3ivpKgIykEVXovHrNjnGgy0N1J+&#13;&#10;MvYjiV1AgBjjJ/ey0G/fPr24xjlQH36pETeLJhLbtiYvzl5twxBy65Tej8ToStY/dfIkWqEw0oKi&#13;&#10;vKwMddEShIAvJ6Uwy24d04JdcG1M75AwJbGtpEdMOWttNQL/Pb/8jF6T0xU1pbxx9RpaoffYHc7W&#13;&#10;LWN4uV9C9aYYKyx1+Buvi+qieU5voCLuSk1ppxFUWzZt4trGL7yLTq2SjNWs1wzJGRQRHKJTCZ07&#13;&#10;d+ZkTws3nD+NNZsdLkdC63g+IXmC2q1Peak4INDE3t17RLZKVZuWLadMnnT9an5mlzR0JGfQQNgi&#13;&#10;RgcCVFaW79q5AyklKQGegi1r9IuETZ7b6aqpsnhcdElLZO0LMlb0I2fQAFqSVMqff6S33Fj/XENy&#13;&#10;crZu3Vr/L4diAKQ31JGQaZfQFqsbqcTpPH3qt/ROaVpBVRzoK9Ec4DB+7Id1Q6hSYk1E7ZHvv4fV&#13;&#10;HAz528ScOP/KZXqtD45Q1Rz8qbrLWVVpoa6iOuJ3ldLZ4G1SHyycP1ev8sbcGDaeuBiykmv5V9E6&#13;&#10;oq4gg4ETw5Rh0O0T2tBgi+0+wbNyGxk2dGjdQsw+1JDduxe4QT+WygqHwz5ixHtBQUa9in2mipOx&#13;&#10;CYOZqVerdu7Y4aJhfsKu94mAJDt/+oGEl/cXraiVEz4ZBzffkH00BdhgBRvoixUkuUq5b++vvLxz&#13;&#10;anvStleraA42xiMfLfMyogyCMjoivCnX8slY0dz1q9hx064tZ2B/GE1tbY0eK5dKZbPa6n3RnnYk&#13;&#10;PvEr+TYVeUfSLx8YZAL8HUQ5cPb2zeuohW6g+sYN6zD5bXT7mJ6h+WWn+LdHgc2bN/KrAThVW1MD&#13;&#10;simfTcJg896i87+dONZ4WxKKCumJdklNsIlo8bkKYm6rsdht5PYwl86fO0sxBvs7mFMnTUQJzGXP&#13;&#10;zp2skLWrUjUes4Ie24ixH4w20tuD1IRXYEVSmzh2Q4GWKYulAu7kxtWrRvZBDRKMyTPs1VdhBZzV&#13;&#10;XwQ0Nn/ePFo6xF7T11BobojyUF+C9foH9+9jej1VTAygmydPHJdmGgzg7Nmz/JTdbo0ODUW7MAY4&#13;&#10;mm+XL3XY4JIA148/fM+vraL1g/v3sUtyHCxOoAVBXP3lb85yY0V1R3xMNLWnor/tQgYkKNLatyNi&#13;&#10;L1hV96lTJ6PDw7hkPokPBtMF7XXiWzZlstptNQifUQVpyOCX4UVQyBoiv1RcVPSvbdvCTCbfDVBd&#13;&#10;i5i4A1/q64Knbdq4wuZiIsMxl6i6SokOQk1ILcLDSGxB2aJFtLW2FrMcXcCcyejcUT7jCwruN91Y&#13;&#10;OdAPTCS63MYuiaOVnAH9EV/UX3zRYZzlXQPlutVrUCSeewK4vrB+SkMuorq6untmJnalbBPJOCuV&#13;&#10;kydMcLocWJrnzfmCWmTlTJkq+EWzTr9h9RrEJJwDmIuNNADQlJXW3RKDUTbkIzlDt8u96+efES0Y&#13;&#10;xZAPiTRjFBSUVCrxQh77G0MpiQmwItTiHLix0jKxavk3MmUpPpv4CSTmZ6HuiRMnEhel1y35Jgxt&#13;&#10;anLi1at/wC0xJ9dELRPu373D5yV+mQAwXPZNB6/QDSVsF/pm9WKh6lMA8SithsRBodOIHwXCQLfw&#13;&#10;fjUHivt60WJxx+6L0uJCHj2DDDvZpsSsPdLTjUqxCozm3NnfA85hjMeJE8flxmrUqJcsWTxv3ryC&#13;&#10;ggLu10XSAID3cUEefm0Lvo0S3X30v+IGDd+4Vvc1QTd8rts5e8bnXP8+ifQvQOAB2dk3rjd2iwdi&#13;&#10;oUeHc3PBpFV0hN1mR6wvnvOiqqqq94vd0Dv0iwnp21ajqWt6ur+xwsKSkxIkCvht9vdpSIk4JSlR&#13;&#10;nlC4eNFCrHSYLZzJnwN0t3/fHvGeiox5r8yu9+/ft9PCQQ8fQRK0VVFe9svOnyKC6Sb72tWrIVsT&#13;&#10;fSoA4kO5ByTXiF8MxomjR/lZm7WWy0A6pa/SVbLrHnTTq1WLiH69s4a/NjTUZMAhl9DMXkHldRsC&#13;&#10;ZObf/eEpvWMar4Iu/3b8+Ii33moRAY/Opqjsikf9BOP7cs4Xjdgr9HP37h2/WvIESxoxfDi7yusv&#13;&#10;M1bcmtrqJNrv+teSJ61KERsZiTBJrNYo4OZyc3PDzUZaNvmWUaWc8PHHeRfPl5eVBrFvo/AE8927&#13;&#10;ZzfZNzpH/YN4UuJFdb0WwwAbvZ4p1VeMGfEuVw1+jx8/Lo9QNRoBqyHKOVj1vwroesb0uvlNlwIa&#13;&#10;9SW8aUA8fhLALffgfuzSaGazDmKvfefWTfp7WN6lHDJs3bIFMiDEhHtAcIAVC1FXl9QULpVfMmm1&#13;&#10;9IGWhsElTGrditOD8/Vr19AKTmEsv125XLJ7v6RRvoD9h6QNJC19P7Fx50rNYVJXW6reGDJEq6jj&#13;&#10;DD7rvlvtbvTGJNV1u9HZcR99IH0CEhWxQF+5dJGFBHAWdctxIwBx7969ucHoBFXB/XuQylubquMX&#13;&#10;i2FsVCRtuZixQmZe94kgY4XL2bppg6gdtt25dlX8Dg9jLX4AL7Nb1yeq7E8D7hNzwIxNpSBcuXTp&#13;&#10;2bZSUlLy228ny8vLmPziowXiORl4OSAeM+AQHr1Th3Zy24Ku9uz6BXoTiRqGparCoNOGhgZXV1vk&#13;&#10;nJGHYl977bVx48ZWV1fx4ZROSXAgrrLVwpKQ52ebAl5XgljaNHB6XhHghU2HpbKSXKlKKC8taag6&#13;&#10;uvPr7l+kdez0yd/EE0+CaKzj6FYkn8p0Bwt65Kc5+MQQD/6/BEz8xJHDcAMw05S2bVz03Az5yOfw&#13;&#10;Awz0HvuTokjYoS5Z/JXfpgLGhn2zFLlCpaeOnxDPPQl1GywMwLnfT02Y8ElhYSFfrZ5DDuiEgmdZ&#13;&#10;5PAcDYGZkwtbdqOGvnBOhksXN+lZZH7NgS9QKEdMz8KMJqlUNNbneI7/ENwOuoOT0KoVs9e6UIpM&#13;&#10;VqspKi4U6ZqA58b6HP89wN0iwjx96rexH45x2q1NCfrlEI2VYmmKS7H5oPrskDwzz0jlVCLbo/Bt&#13;&#10;ASV2AEkslRV8EyOrK6epgw8B4MPKvwojxvrrbTcAQE1CehNtb2WHEi9ayCvKy7Fx8RZKZPI8q4Ij&#13;&#10;tuKzUyJwSKRuT21NTQ29Z0zRAZ0gYm91b0VWV2KIxCh98iIYpZiR8oA3L6NnzL1Hbi4GjujqTx2x&#13;&#10;mKSSiopyWAnLc7AadQkN4QeWZLdY6BtJjAZE1ExNdRWS2M3G4FOdNS0x52J4JfflRJdd3G7szNwu&#13;&#10;uYTQcHVlRbl4wJjUGetS+kO1AsbyMf1F1eYrli1GIWKPiGBT65iY8KAgVsWzatlSio7VCrvdejX/&#13;&#10;j2A1fWXrUcEDvar5FzOnOx22rB7ddWoBO+jS0lKDSjV0SE5qh5T+/fo+9jw+d+oMwpTSkiLwQaPo&#13;&#10;f0aXtCCtmn2oz90yPGL+/LmQPCaCvjDcJTUFYXRWZubQnJchYM6AAWgX4m1YuwbiWWurkY8KDZky&#13;&#10;cQLI9Erle8OHWywVlZYKS1UlxE6Ijw0NMuEUfT9cELqkpiIfpNMNzM522m25B/dnZnazWq1VlkoE&#13;&#10;UocPHqytra2oqEBE1SM9vbKyEvLHRkSEGAxoKEij+de2bVxmDPnId94B2a3r18rKSvQaVULrVvAQ&#13;&#10;s2ZNxy7YUlmOhOqIw5he6aNnUEJZaTErr0D5gOxsHX2xzn3pwll0E6zu3rqFcdbRGztUC72gmzoq&#13;&#10;1aK5c6E0tMs/pNytUyeX05Gd1eOVwYOgurfeHIYdTNGjwtLiEp1KuYL+vrHbqFHOmjmdxCBN0JOH&#13;&#10;NApKlbWmul/vrFdyUJEuWk8YNw7KrKoor2ICo93fz5zRKRTb/7XVYbfGR0e3jIqCeulvxAtCCZoo&#13;&#10;LAaTvlm9UH3qpIkGlcKs09mstTt/+hFiwwMcP3IUQ7BpwzpYRWJ8PCJRKAod0dK16uYPCx7Ajo06&#13;&#10;LWwpviW90DJj+jQIjw2ArdaKno58521Yziv9+yPvcNj2/kpKu3vnls1ak9ouecK4sZAafXmCsX45&#13;&#10;c2ZiXJzTShzXrlqNWbDym6WRpqBHjwq0gupQ7kGTVuNyu3IGDdSp6U9BvJTd26TRIBU/pMeHb9++&#13;&#10;iYpBOi368FTGumL5snfeHo5B6tenl4+xuugVmhbh4RFm884ffjDoNOy2AF1cMxv0UVERsZERFaUl&#13;&#10;8P8wVvpzPkqVXq1MbhNXXVWFNkpLS/r07Kmnh+WUYSaTw27jxno0N5eU4KY/48E+vcdV4hqQ3Qec&#13;&#10;L168wEoIsEu9SohhXxMBBg3sr2U3UGCsBraNgA6XLl0qUovGSn8VAKY84r13UcXPWGttNTDN77dt&#13;&#10;Bg031mC9Pnfv3mOHDkEY5rw9QXr1qlUrh786NCIk+OV+2cxYXSadtkfXDDAUL5yTWZOxhhqNUEJU&#13;&#10;VBS4wWLatGoRbg6CNb//7jtX8i5p1Wqn3cGNNSY8LCYybMxI+iRd76wsSEjel8vtodExCerUlHZ0&#13;&#10;5PFkdEwDE26s7ZMTDuzfqxGUP27filkEm8ns1tWgYU+DeB4fyz0MVjdv3oRjhP4PHzooqBQLv5r/&#13;&#10;2tAhcbHRfsa6cd16WEh5GX0kksCax4T54d/bo8KC6aE8leqzyZ9SN7mx3rlzZ+HCBeHBwbA8GBwZ&#13;&#10;q0qFmVpVVYmZAc9ktdu/mr8AslZXW5YvXxpspL/xjxGib4DqyLPabDa9VhsXHb3+u+/g7VCruOjR&#13;&#10;gvlzjRq1zVY7bOgQTJTi4sLfz5zCwEjGCtV8OfsLrUr1+bSpCxfMx0jfyM/HNI0Jj/x63gJMjI3r&#13;&#10;12Gkh+a8gj4MenmAVkN/DhwV6b0/NK1SV5TRm/ug1AlCx/Yp0yZNmvrpp9OnToETTYiLwyBhRvzy&#13;&#10;y05InpeXByHhIxNiW37/r219evdSq1VlZWXoo1pQHj4kGqtWLXSX/Um3TZs2QWCaaTLs2rFDq1SM&#13;&#10;GfX+9M+nqgXVnDlz0JFZs2aAUqSQAcZKHGz0dVQcQv7+2dka+tsvzksXzmHCowQIMZmMKsHusH3z&#13;&#10;9WKzXocWoTeYY9tW8egdFoSvFszDQr927VpoaUjOIHjiDevWqwVh4oRPJn06AfMNusVAGNXq3i/2&#13;&#10;gB4+mzxpymeTaqotBqUS9CdPHOMm+9W8+VAajBVDPGXiRNLYpEkFBQVwwChJT+u4mf6wkfDKK69A&#13;&#10;4DUrV6LKhAmfTJ40Ee3Cg0CxUz+blNCmNWR+cO8e/ekqFQ1KcXExutmpfcrGdWsNGnVyUjI6W2Wp&#13;&#10;0KjhYu0o0YLM5YaFtI6NhZzMWKnv6B0Ew+TftnWzOcgYGxuLiksXLQS38R99uGHNGrNaEx8bg0mC&#13;&#10;cjJWiCVBDCd4YMGTF+LlVsA3khNz9ej5IbMlGbwH4EBM/KoA3hJ4DJE1mHgbAcSmOZkkiR8TQDzr&#13;&#10;zT8JIh8Gksx7yLy+WMLBin3Ay+pTAlI5ZTgdE8wnw8EPWRIbkQikDCDPyyCWSad4U5xPfaCJBvhQ&#13;&#10;YUPlHA0R+ELsLIdvFco2zMSnogRYwOPH/xfj2Kf9Dv1wTAAAAABJRU5ErkJgglBLAwQUAAYACAAA&#13;&#10;ACEAwxUQseIAAAAMAQAADwAAAGRycy9kb3ducmV2LnhtbEyPT2/CMAzF75P2HSJP2g3SgMa2Uhch&#13;&#10;9ueEkAaTpt1CY9qKJqma0JZvP++0XWxZz35+v2w12kb01IXaOwQ1TUCQK7ypXYnweXibPIEIUTuj&#13;&#10;G+8I4UoBVvntTaZT4wf3Qf0+loJNXEg1QhVjm0oZioqsDlPfkmPt5DurI49dKU2nBza3jZwlyUJa&#13;&#10;XTv+UOmWNhUV5/3FIrwPeljP1Wu/PZ821+/Dw+5rqwjx/m58WXJZL0FEGuPfBfwycH7IOdjRX5wJ&#13;&#10;okFY8B7C5JmpWJ0pxTRHhPkjd5ln8j9E/gMAAP//AwBQSwMEFAAGAAgAAAAhAAtZHnPIAAAAqAEA&#13;&#10;ABkAAABkcnMvX3JlbHMvZTJvRG9jLnhtbC5yZWxzvJDBisIwEIbvwr5DmPs2bQ/LIqa9LIJXcR9g&#13;&#10;SKZp3GYSkij69ga8rCB48zgz/N//MZvx4hdxppRdYAVd04Ig1sE4tgp+D9vPbxC5IBtcApOCK2UY&#13;&#10;h4/VZk8LlhrKs4tZVApnBXMpcS1l1jN5zE2IxPUyheSx1DFZGVH/oSXZt+2XTP8ZMDwwxc4oSDvT&#13;&#10;gzhcY21+zQ7T5DT9BH3yxOVJhXS+dlcgJktFgSfj8L7sm8gWhHwu0b1HomuOke4W8uG/ww0AAP//&#13;&#10;AwBQSwECLQAUAAYACAAAACEACKwZ2xUBAABNAgAAEwAAAAAAAAAAAAAAAAAAAAAAW0NvbnRlbnRf&#13;&#10;VHlwZXNdLnhtbFBLAQItABQABgAIAAAAIQCnSs841wAAAJYBAAALAAAAAAAAAAAAAAAAAEYBAABf&#13;&#10;cmVscy8ucmVsc1BLAQItABQABgAIAAAAIQCPv/Ze6QIAADIIAAAOAAAAAAAAAAAAAAAAAEYCAABk&#13;&#10;cnMvZTJvRG9jLnhtbFBLAQItAAoAAAAAAAAAIQAUVXsp7REAAO0RAAAVAAAAAAAAAAAAAAAAAFsF&#13;&#10;AABkcnMvbWVkaWEvaW1hZ2UxLmpwZWdQSwECLQAKAAAAAAAAACEAdwZJNcU3AADFNwAAFAAAAAAA&#13;&#10;AAAAAAAAAAB7FwAAZHJzL21lZGlhL2ltYWdlMi5wbmdQSwECLQAUAAYACAAAACEAwxUQseIAAAAM&#13;&#10;AQAADwAAAAAAAAAAAAAAAAByTwAAZHJzL2Rvd25yZXYueG1sUEsBAi0AFAAGAAgAAAAhAAtZHnPI&#13;&#10;AAAAqAEAABkAAAAAAAAAAAAAAAAAgVAAAGRycy9fcmVscy9lMm9Eb2MueG1sLnJlbHNQSwUGAAAA&#13;&#10;AAcABwC/AQAAgFE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56" o:spid="_x0000_s1027" type="#_x0000_t75" style="position:absolute;width:2971;height:2971;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ChY/MkAAADiAAAADwAAAGRycy9kb3ducmV2LnhtbESPwWrC&#13;&#10;QBCG74W+wzKF3upuRIJEVxFLgxcPago9TrPTJJidDdnVpG/vCoKXYYaf/xu+5Xq0rbhS7xvHGpKJ&#13;&#10;AkFcOtNwpaE4fX3MQfiAbLB1TBr+ycN69fqyxMy4gQ90PYZKRAj7DDXUIXSZlL6syaKfuI44Zn+u&#13;&#10;txji2VfS9DhEuG3lVKlUWmw4fqixo21N5fl4sRrUPj8P+98urdJklu+KYnr6/sm1fn8bPxdxbBYg&#13;&#10;Ao3h2XggdiY6qATuRnEDIVc3AAAA//8DAFBLAQItABQABgAIAAAAIQCcrWMz7wAAAIgBAAATAAAA&#13;&#10;AAAAAAAAAAAAAAAAAABbQ29udGVudF9UeXBlc10ueG1sUEsBAi0AFAAGAAgAAAAhAFHn8aa/AAAA&#13;&#10;FgEAAAsAAAAAAAAAAAAAAAAAIAEAAF9yZWxzLy5yZWxzUEsBAi0AFAAGAAgAAAAhADwoWPzJAAAA&#13;&#10;4gAAAA8AAAAAAAAAAAAAAAAACAIAAGRycy9kb3ducmV2LnhtbFBLBQYAAAAAAwADALcAAAD+AgAA&#13;&#10;AAA=&#13;&#10;">
                <v:imagedata r:id="rId3" o:title="" chromakey="white"/>
                <o:lock v:ext="edit" aspectratio="f"/>
              </v:shape>
              <v:shape id="图片 102" o:spid="_x0000_s1028" type="#_x0000_t75" style="position:absolute;left:3536;top:86;width:9875;height:2711;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FHSZ8MAAADiAAAADwAAAGRycy9kb3ducmV2LnhtbESPywrC&#13;&#10;MBBF94L/EEZwp6kiotUoogjuxAeuh2b6oM2kNFHbvzeC4GaY4XLPcNbb1lTiRY0rLCuYjCMQxInV&#13;&#10;BWcK7rfjaAHCeWSNlWVS0JGD7abfW2Os7Zsv9Lr6TAQIuxgV5N7XsZQuycmgG9uaOGSpbQz6cDaZ&#13;&#10;1A2+A9xUchpFc2mw4PAhx5r2OSXl9WkUzCu9PHfn8nkxO7bFo0xnvkuVGg7awyqM3QqEp9b/Gz/E&#13;&#10;SQeHaApfo7CBkJsPAAAA//8DAFBLAQItABQABgAIAAAAIQCcrWMz7wAAAIgBAAATAAAAAAAAAAAA&#13;&#10;AAAAAAAAAABbQ29udGVudF9UeXBlc10ueG1sUEsBAi0AFAAGAAgAAAAhAFHn8aa/AAAAFgEAAAsA&#13;&#10;AAAAAAAAAAAAAAAAIAEAAF9yZWxzLy5yZWxzUEsBAi0AFAAGAAgAAAAhALRR0mfDAAAA4gAAAA8A&#13;&#10;AAAAAAAAAAAAAAAACAIAAGRycy9kb3ducmV2LnhtbFBLBQYAAAAAAwADALcAAAD4AgAAAAA=&#13;&#10;">
                <v:imagedata r:id="rId4" o:title=""/>
                <o:lock v:ext="edit" aspectratio="f"/>
              </v:shape>
            </v:group>
          </w:pict>
        </mc:Fallback>
      </mc:AlternateContent>
    </w:r>
    <w:r>
      <w:rPr>
        <w:rFonts w:ascii="微软雅黑" w:eastAsia="微软雅黑" w:hAnsi="微软雅黑" w:cs="微软雅黑"/>
        <w:b/>
        <w:color w:val="C00000"/>
        <w:sz w:val="20"/>
      </w:rPr>
      <w:t>2019</w:t>
    </w:r>
    <w:r>
      <w:rPr>
        <w:rFonts w:ascii="微软雅黑" w:eastAsia="微软雅黑" w:hAnsi="微软雅黑" w:cs="微软雅黑" w:hint="eastAsia"/>
        <w:b/>
        <w:color w:val="C00000"/>
        <w:sz w:val="20"/>
      </w:rPr>
      <w:t>年普通</w:t>
    </w:r>
    <w:r>
      <w:rPr>
        <w:rFonts w:ascii="微软雅黑" w:eastAsia="微软雅黑" w:hAnsi="微软雅黑" w:cs="微软雅黑"/>
        <w:b/>
        <w:color w:val="C00000"/>
        <w:sz w:val="20"/>
      </w:rPr>
      <w:t>本科毕业生就业质量</w:t>
    </w:r>
    <w:r>
      <w:rPr>
        <w:rFonts w:ascii="微软雅黑" w:eastAsia="微软雅黑" w:hAnsi="微软雅黑" w:cs="微软雅黑" w:hint="eastAsia"/>
        <w:b/>
        <w:color w:val="C00000"/>
        <w:sz w:val="20"/>
      </w:rPr>
      <w:t>年度</w:t>
    </w:r>
    <w:r>
      <w:rPr>
        <w:rFonts w:ascii="微软雅黑" w:eastAsia="微软雅黑" w:hAnsi="微软雅黑" w:cs="微软雅黑"/>
        <w:b/>
        <w:color w:val="C00000"/>
        <w:sz w:val="20"/>
      </w:rPr>
      <w:t>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3C7103"/>
    <w:multiLevelType w:val="multilevel"/>
    <w:tmpl w:val="4F3C7103"/>
    <w:lvl w:ilvl="0">
      <w:start w:val="1"/>
      <w:numFmt w:val="japaneseCounting"/>
      <w:lvlText w:val="%1、"/>
      <w:lvlJc w:val="left"/>
      <w:pPr>
        <w:ind w:left="640" w:hanging="6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bordersDoNotSurroundHeader/>
  <w:bordersDoNotSurroundFooter/>
  <w:hideSpellingErrors/>
  <w:defaultTabStop w:val="8190"/>
  <w:drawingGridVerticalSpacing w:val="156"/>
  <w:displayHorizontalDrawingGridEvery w:val="0"/>
  <w:displayVerticalDrawingGridEvery w:val="2"/>
  <w:characterSpacingControl w:val="compressPunctuation"/>
  <w:hdrShapeDefaults>
    <o:shapedefaults v:ext="edit" spidmax="410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39B"/>
    <w:rsid w:val="00000425"/>
    <w:rsid w:val="0000096D"/>
    <w:rsid w:val="00000F55"/>
    <w:rsid w:val="00000FC5"/>
    <w:rsid w:val="00000FF2"/>
    <w:rsid w:val="00001923"/>
    <w:rsid w:val="00001E61"/>
    <w:rsid w:val="00002169"/>
    <w:rsid w:val="000022D8"/>
    <w:rsid w:val="000026DF"/>
    <w:rsid w:val="00002739"/>
    <w:rsid w:val="00002AF3"/>
    <w:rsid w:val="00002B17"/>
    <w:rsid w:val="000034C7"/>
    <w:rsid w:val="0000568A"/>
    <w:rsid w:val="00005779"/>
    <w:rsid w:val="00005B73"/>
    <w:rsid w:val="000064D8"/>
    <w:rsid w:val="00006916"/>
    <w:rsid w:val="00006B59"/>
    <w:rsid w:val="00006C03"/>
    <w:rsid w:val="0000749D"/>
    <w:rsid w:val="00007B28"/>
    <w:rsid w:val="00010DF1"/>
    <w:rsid w:val="000111FE"/>
    <w:rsid w:val="0001232B"/>
    <w:rsid w:val="000128CC"/>
    <w:rsid w:val="000128D1"/>
    <w:rsid w:val="000128EF"/>
    <w:rsid w:val="000138AB"/>
    <w:rsid w:val="00014D75"/>
    <w:rsid w:val="0001528C"/>
    <w:rsid w:val="00015CD6"/>
    <w:rsid w:val="00015CEA"/>
    <w:rsid w:val="0001602B"/>
    <w:rsid w:val="000166D1"/>
    <w:rsid w:val="000167F3"/>
    <w:rsid w:val="00017B7A"/>
    <w:rsid w:val="00020084"/>
    <w:rsid w:val="00020D1A"/>
    <w:rsid w:val="0002123F"/>
    <w:rsid w:val="000216B4"/>
    <w:rsid w:val="00021730"/>
    <w:rsid w:val="000221E8"/>
    <w:rsid w:val="0002234A"/>
    <w:rsid w:val="0002234C"/>
    <w:rsid w:val="000237D9"/>
    <w:rsid w:val="00023D0A"/>
    <w:rsid w:val="00023D4F"/>
    <w:rsid w:val="00024257"/>
    <w:rsid w:val="0002443E"/>
    <w:rsid w:val="00024AC9"/>
    <w:rsid w:val="0002533C"/>
    <w:rsid w:val="00025D71"/>
    <w:rsid w:val="0002628F"/>
    <w:rsid w:val="00026692"/>
    <w:rsid w:val="000267C3"/>
    <w:rsid w:val="00026AEB"/>
    <w:rsid w:val="00027132"/>
    <w:rsid w:val="000304EE"/>
    <w:rsid w:val="0003073F"/>
    <w:rsid w:val="00031542"/>
    <w:rsid w:val="00031A30"/>
    <w:rsid w:val="00031AFE"/>
    <w:rsid w:val="00031CC0"/>
    <w:rsid w:val="00031EF5"/>
    <w:rsid w:val="00031F99"/>
    <w:rsid w:val="00032598"/>
    <w:rsid w:val="00032688"/>
    <w:rsid w:val="00033369"/>
    <w:rsid w:val="00033E13"/>
    <w:rsid w:val="00034086"/>
    <w:rsid w:val="00034B4F"/>
    <w:rsid w:val="00034E85"/>
    <w:rsid w:val="0003579E"/>
    <w:rsid w:val="00035D01"/>
    <w:rsid w:val="00036B5C"/>
    <w:rsid w:val="00036F8C"/>
    <w:rsid w:val="00037E9F"/>
    <w:rsid w:val="00040B09"/>
    <w:rsid w:val="00040B3C"/>
    <w:rsid w:val="00041087"/>
    <w:rsid w:val="00041205"/>
    <w:rsid w:val="00041260"/>
    <w:rsid w:val="00041CC0"/>
    <w:rsid w:val="00041D04"/>
    <w:rsid w:val="00042135"/>
    <w:rsid w:val="00042681"/>
    <w:rsid w:val="00042686"/>
    <w:rsid w:val="00042796"/>
    <w:rsid w:val="00042CC3"/>
    <w:rsid w:val="00043CC8"/>
    <w:rsid w:val="00043D55"/>
    <w:rsid w:val="00043E63"/>
    <w:rsid w:val="0004487C"/>
    <w:rsid w:val="00044B4D"/>
    <w:rsid w:val="00044B9E"/>
    <w:rsid w:val="00045193"/>
    <w:rsid w:val="000452F3"/>
    <w:rsid w:val="0004640D"/>
    <w:rsid w:val="00046641"/>
    <w:rsid w:val="00046E28"/>
    <w:rsid w:val="00046F38"/>
    <w:rsid w:val="00047066"/>
    <w:rsid w:val="0004735F"/>
    <w:rsid w:val="000473C0"/>
    <w:rsid w:val="000474E1"/>
    <w:rsid w:val="00047747"/>
    <w:rsid w:val="00050728"/>
    <w:rsid w:val="00050B3E"/>
    <w:rsid w:val="00050CF7"/>
    <w:rsid w:val="00051376"/>
    <w:rsid w:val="00051F97"/>
    <w:rsid w:val="0005344D"/>
    <w:rsid w:val="00053499"/>
    <w:rsid w:val="0005397A"/>
    <w:rsid w:val="00054B31"/>
    <w:rsid w:val="00055E12"/>
    <w:rsid w:val="000565C6"/>
    <w:rsid w:val="00057A84"/>
    <w:rsid w:val="000602FB"/>
    <w:rsid w:val="00060387"/>
    <w:rsid w:val="00060418"/>
    <w:rsid w:val="000609E8"/>
    <w:rsid w:val="00060E87"/>
    <w:rsid w:val="000619A1"/>
    <w:rsid w:val="00061B6A"/>
    <w:rsid w:val="00061BE4"/>
    <w:rsid w:val="00061D97"/>
    <w:rsid w:val="000620E1"/>
    <w:rsid w:val="00062452"/>
    <w:rsid w:val="0006268E"/>
    <w:rsid w:val="00062A95"/>
    <w:rsid w:val="00062C18"/>
    <w:rsid w:val="00062C2F"/>
    <w:rsid w:val="00063061"/>
    <w:rsid w:val="000631D5"/>
    <w:rsid w:val="000633F4"/>
    <w:rsid w:val="0006353C"/>
    <w:rsid w:val="00063CE7"/>
    <w:rsid w:val="00064184"/>
    <w:rsid w:val="00064D54"/>
    <w:rsid w:val="000653ED"/>
    <w:rsid w:val="000658C2"/>
    <w:rsid w:val="00065CDD"/>
    <w:rsid w:val="00066790"/>
    <w:rsid w:val="000669AD"/>
    <w:rsid w:val="00066BDC"/>
    <w:rsid w:val="00066E12"/>
    <w:rsid w:val="00067451"/>
    <w:rsid w:val="00067453"/>
    <w:rsid w:val="000675E5"/>
    <w:rsid w:val="0007010F"/>
    <w:rsid w:val="00070181"/>
    <w:rsid w:val="000701BB"/>
    <w:rsid w:val="000704F2"/>
    <w:rsid w:val="00070778"/>
    <w:rsid w:val="0007082A"/>
    <w:rsid w:val="0007263E"/>
    <w:rsid w:val="00072EAE"/>
    <w:rsid w:val="0007349E"/>
    <w:rsid w:val="000737B7"/>
    <w:rsid w:val="00073C7D"/>
    <w:rsid w:val="00074052"/>
    <w:rsid w:val="00074418"/>
    <w:rsid w:val="0007471E"/>
    <w:rsid w:val="00074C31"/>
    <w:rsid w:val="000753CA"/>
    <w:rsid w:val="00075EA8"/>
    <w:rsid w:val="00076961"/>
    <w:rsid w:val="00076BB4"/>
    <w:rsid w:val="00076E40"/>
    <w:rsid w:val="00077476"/>
    <w:rsid w:val="00077919"/>
    <w:rsid w:val="00077953"/>
    <w:rsid w:val="000803CC"/>
    <w:rsid w:val="00081698"/>
    <w:rsid w:val="000817B6"/>
    <w:rsid w:val="00081BB2"/>
    <w:rsid w:val="00082314"/>
    <w:rsid w:val="00082B61"/>
    <w:rsid w:val="000833DB"/>
    <w:rsid w:val="00083808"/>
    <w:rsid w:val="00083D48"/>
    <w:rsid w:val="00084133"/>
    <w:rsid w:val="00084156"/>
    <w:rsid w:val="00084587"/>
    <w:rsid w:val="000845F2"/>
    <w:rsid w:val="000847C1"/>
    <w:rsid w:val="00085247"/>
    <w:rsid w:val="000857A1"/>
    <w:rsid w:val="00085A93"/>
    <w:rsid w:val="00085CE7"/>
    <w:rsid w:val="00086492"/>
    <w:rsid w:val="000868E8"/>
    <w:rsid w:val="000871F3"/>
    <w:rsid w:val="0008726E"/>
    <w:rsid w:val="00087417"/>
    <w:rsid w:val="00087990"/>
    <w:rsid w:val="00087AD4"/>
    <w:rsid w:val="000900AC"/>
    <w:rsid w:val="000902CC"/>
    <w:rsid w:val="000903AB"/>
    <w:rsid w:val="000912B6"/>
    <w:rsid w:val="0009158A"/>
    <w:rsid w:val="000936AE"/>
    <w:rsid w:val="000943F4"/>
    <w:rsid w:val="00094FEE"/>
    <w:rsid w:val="000950D0"/>
    <w:rsid w:val="000956D6"/>
    <w:rsid w:val="00096311"/>
    <w:rsid w:val="0009643E"/>
    <w:rsid w:val="00096BED"/>
    <w:rsid w:val="00096E55"/>
    <w:rsid w:val="00096ED9"/>
    <w:rsid w:val="00097101"/>
    <w:rsid w:val="00097713"/>
    <w:rsid w:val="000A028D"/>
    <w:rsid w:val="000A15A3"/>
    <w:rsid w:val="000A28B3"/>
    <w:rsid w:val="000A2ADF"/>
    <w:rsid w:val="000A2B52"/>
    <w:rsid w:val="000A32A4"/>
    <w:rsid w:val="000A339B"/>
    <w:rsid w:val="000A36FB"/>
    <w:rsid w:val="000A3727"/>
    <w:rsid w:val="000A3981"/>
    <w:rsid w:val="000A40A8"/>
    <w:rsid w:val="000A43CB"/>
    <w:rsid w:val="000A4820"/>
    <w:rsid w:val="000A5110"/>
    <w:rsid w:val="000A5322"/>
    <w:rsid w:val="000A5D9B"/>
    <w:rsid w:val="000A655B"/>
    <w:rsid w:val="000A6B82"/>
    <w:rsid w:val="000A73F4"/>
    <w:rsid w:val="000A778F"/>
    <w:rsid w:val="000B111D"/>
    <w:rsid w:val="000B18CA"/>
    <w:rsid w:val="000B18D4"/>
    <w:rsid w:val="000B21E2"/>
    <w:rsid w:val="000B333E"/>
    <w:rsid w:val="000B334D"/>
    <w:rsid w:val="000B42F5"/>
    <w:rsid w:val="000B4338"/>
    <w:rsid w:val="000B49E1"/>
    <w:rsid w:val="000B4E86"/>
    <w:rsid w:val="000B5834"/>
    <w:rsid w:val="000B5B06"/>
    <w:rsid w:val="000B5B67"/>
    <w:rsid w:val="000B5C98"/>
    <w:rsid w:val="000B5FBD"/>
    <w:rsid w:val="000B69AE"/>
    <w:rsid w:val="000B6DE5"/>
    <w:rsid w:val="000C0B01"/>
    <w:rsid w:val="000C0CF1"/>
    <w:rsid w:val="000C0FF4"/>
    <w:rsid w:val="000C1004"/>
    <w:rsid w:val="000C1418"/>
    <w:rsid w:val="000C17D9"/>
    <w:rsid w:val="000C2230"/>
    <w:rsid w:val="000C250B"/>
    <w:rsid w:val="000C2B59"/>
    <w:rsid w:val="000C3BA2"/>
    <w:rsid w:val="000C3DEC"/>
    <w:rsid w:val="000C4D84"/>
    <w:rsid w:val="000C6245"/>
    <w:rsid w:val="000C67FD"/>
    <w:rsid w:val="000C6B42"/>
    <w:rsid w:val="000C6FA1"/>
    <w:rsid w:val="000C7119"/>
    <w:rsid w:val="000C7A0F"/>
    <w:rsid w:val="000C7A64"/>
    <w:rsid w:val="000C7B2F"/>
    <w:rsid w:val="000D18AC"/>
    <w:rsid w:val="000D1ADA"/>
    <w:rsid w:val="000D26E1"/>
    <w:rsid w:val="000D2F61"/>
    <w:rsid w:val="000D3109"/>
    <w:rsid w:val="000D4953"/>
    <w:rsid w:val="000D4C11"/>
    <w:rsid w:val="000D6B3F"/>
    <w:rsid w:val="000D6C1D"/>
    <w:rsid w:val="000D6E72"/>
    <w:rsid w:val="000D70A4"/>
    <w:rsid w:val="000D7885"/>
    <w:rsid w:val="000D79A4"/>
    <w:rsid w:val="000E0A4F"/>
    <w:rsid w:val="000E11D3"/>
    <w:rsid w:val="000E1EBE"/>
    <w:rsid w:val="000E2156"/>
    <w:rsid w:val="000E4E91"/>
    <w:rsid w:val="000E4F96"/>
    <w:rsid w:val="000E5035"/>
    <w:rsid w:val="000E5448"/>
    <w:rsid w:val="000E544D"/>
    <w:rsid w:val="000E5567"/>
    <w:rsid w:val="000E59EB"/>
    <w:rsid w:val="000E5AEE"/>
    <w:rsid w:val="000E5B2D"/>
    <w:rsid w:val="000E6EDB"/>
    <w:rsid w:val="000E6F07"/>
    <w:rsid w:val="000E73C8"/>
    <w:rsid w:val="000E7E62"/>
    <w:rsid w:val="000F04CD"/>
    <w:rsid w:val="000F079C"/>
    <w:rsid w:val="000F0D36"/>
    <w:rsid w:val="000F16D8"/>
    <w:rsid w:val="000F2223"/>
    <w:rsid w:val="000F222F"/>
    <w:rsid w:val="000F32FC"/>
    <w:rsid w:val="000F3A03"/>
    <w:rsid w:val="000F4B14"/>
    <w:rsid w:val="000F4E8D"/>
    <w:rsid w:val="000F4F6A"/>
    <w:rsid w:val="000F535F"/>
    <w:rsid w:val="000F5B58"/>
    <w:rsid w:val="000F6ABE"/>
    <w:rsid w:val="000F6C8B"/>
    <w:rsid w:val="000F6E59"/>
    <w:rsid w:val="000F6FD1"/>
    <w:rsid w:val="0010087E"/>
    <w:rsid w:val="00100A9E"/>
    <w:rsid w:val="00100D11"/>
    <w:rsid w:val="001016D2"/>
    <w:rsid w:val="00101BBE"/>
    <w:rsid w:val="00101C2C"/>
    <w:rsid w:val="00101DF9"/>
    <w:rsid w:val="00102378"/>
    <w:rsid w:val="001026D3"/>
    <w:rsid w:val="001026DF"/>
    <w:rsid w:val="00102A4B"/>
    <w:rsid w:val="00103766"/>
    <w:rsid w:val="00104869"/>
    <w:rsid w:val="00104FC5"/>
    <w:rsid w:val="0010512B"/>
    <w:rsid w:val="001052CB"/>
    <w:rsid w:val="0010559E"/>
    <w:rsid w:val="0010570C"/>
    <w:rsid w:val="00105C45"/>
    <w:rsid w:val="001067A2"/>
    <w:rsid w:val="00107671"/>
    <w:rsid w:val="001076CA"/>
    <w:rsid w:val="001102DF"/>
    <w:rsid w:val="001106C0"/>
    <w:rsid w:val="00110B25"/>
    <w:rsid w:val="001116C9"/>
    <w:rsid w:val="00111A5C"/>
    <w:rsid w:val="00112B02"/>
    <w:rsid w:val="00113C38"/>
    <w:rsid w:val="0011503A"/>
    <w:rsid w:val="00115FB4"/>
    <w:rsid w:val="0011654E"/>
    <w:rsid w:val="00116EDE"/>
    <w:rsid w:val="00117970"/>
    <w:rsid w:val="00121679"/>
    <w:rsid w:val="001216BE"/>
    <w:rsid w:val="00121E25"/>
    <w:rsid w:val="00121F95"/>
    <w:rsid w:val="00122123"/>
    <w:rsid w:val="0012452E"/>
    <w:rsid w:val="001248C4"/>
    <w:rsid w:val="00125750"/>
    <w:rsid w:val="0012617C"/>
    <w:rsid w:val="001262FC"/>
    <w:rsid w:val="00126841"/>
    <w:rsid w:val="0012688D"/>
    <w:rsid w:val="00126E16"/>
    <w:rsid w:val="00126E70"/>
    <w:rsid w:val="00127018"/>
    <w:rsid w:val="00127537"/>
    <w:rsid w:val="001279A9"/>
    <w:rsid w:val="00130BBE"/>
    <w:rsid w:val="00130CDF"/>
    <w:rsid w:val="00130D9D"/>
    <w:rsid w:val="00130F47"/>
    <w:rsid w:val="0013107A"/>
    <w:rsid w:val="00131252"/>
    <w:rsid w:val="0013139B"/>
    <w:rsid w:val="0013141A"/>
    <w:rsid w:val="001326EF"/>
    <w:rsid w:val="0013346E"/>
    <w:rsid w:val="00133584"/>
    <w:rsid w:val="00134AB0"/>
    <w:rsid w:val="00135648"/>
    <w:rsid w:val="0013579C"/>
    <w:rsid w:val="00135C23"/>
    <w:rsid w:val="00135D1E"/>
    <w:rsid w:val="00135E41"/>
    <w:rsid w:val="00135EF9"/>
    <w:rsid w:val="00137355"/>
    <w:rsid w:val="0013754D"/>
    <w:rsid w:val="00137E1C"/>
    <w:rsid w:val="00141138"/>
    <w:rsid w:val="00141B8F"/>
    <w:rsid w:val="0014212E"/>
    <w:rsid w:val="00142494"/>
    <w:rsid w:val="001425B0"/>
    <w:rsid w:val="0014468E"/>
    <w:rsid w:val="001455A0"/>
    <w:rsid w:val="00145AC9"/>
    <w:rsid w:val="00145CA7"/>
    <w:rsid w:val="0014659F"/>
    <w:rsid w:val="0014783F"/>
    <w:rsid w:val="00151048"/>
    <w:rsid w:val="00151B4F"/>
    <w:rsid w:val="001522B9"/>
    <w:rsid w:val="00152335"/>
    <w:rsid w:val="00152589"/>
    <w:rsid w:val="00152590"/>
    <w:rsid w:val="0015277B"/>
    <w:rsid w:val="00152DAD"/>
    <w:rsid w:val="001539E8"/>
    <w:rsid w:val="00153C0F"/>
    <w:rsid w:val="00153D1F"/>
    <w:rsid w:val="00153D5B"/>
    <w:rsid w:val="00153FDC"/>
    <w:rsid w:val="00154A73"/>
    <w:rsid w:val="00154F8D"/>
    <w:rsid w:val="00154FEE"/>
    <w:rsid w:val="00156AA3"/>
    <w:rsid w:val="00156FBF"/>
    <w:rsid w:val="0015751F"/>
    <w:rsid w:val="00157A15"/>
    <w:rsid w:val="00157C29"/>
    <w:rsid w:val="00157D97"/>
    <w:rsid w:val="00160184"/>
    <w:rsid w:val="001603D9"/>
    <w:rsid w:val="00160412"/>
    <w:rsid w:val="001610FE"/>
    <w:rsid w:val="00161277"/>
    <w:rsid w:val="001614B4"/>
    <w:rsid w:val="00162458"/>
    <w:rsid w:val="00162E5A"/>
    <w:rsid w:val="00163624"/>
    <w:rsid w:val="00163AF8"/>
    <w:rsid w:val="00163B41"/>
    <w:rsid w:val="00163F4F"/>
    <w:rsid w:val="00163F65"/>
    <w:rsid w:val="00163FDC"/>
    <w:rsid w:val="001641A1"/>
    <w:rsid w:val="001645A0"/>
    <w:rsid w:val="00165E0B"/>
    <w:rsid w:val="001665F7"/>
    <w:rsid w:val="00166B3A"/>
    <w:rsid w:val="00166B87"/>
    <w:rsid w:val="00166B95"/>
    <w:rsid w:val="001674DC"/>
    <w:rsid w:val="0016786B"/>
    <w:rsid w:val="00167F3E"/>
    <w:rsid w:val="00170222"/>
    <w:rsid w:val="0017138D"/>
    <w:rsid w:val="00171E0C"/>
    <w:rsid w:val="001729CB"/>
    <w:rsid w:val="00172AAA"/>
    <w:rsid w:val="00173FD8"/>
    <w:rsid w:val="001740F9"/>
    <w:rsid w:val="001746F8"/>
    <w:rsid w:val="00174992"/>
    <w:rsid w:val="00174FC5"/>
    <w:rsid w:val="001752E2"/>
    <w:rsid w:val="001757E2"/>
    <w:rsid w:val="001759E4"/>
    <w:rsid w:val="001761B3"/>
    <w:rsid w:val="00176B2D"/>
    <w:rsid w:val="00176F70"/>
    <w:rsid w:val="00176FD1"/>
    <w:rsid w:val="001771AA"/>
    <w:rsid w:val="00177232"/>
    <w:rsid w:val="00177244"/>
    <w:rsid w:val="0017745B"/>
    <w:rsid w:val="001774E4"/>
    <w:rsid w:val="001777A3"/>
    <w:rsid w:val="00177A87"/>
    <w:rsid w:val="00177CDF"/>
    <w:rsid w:val="001807DE"/>
    <w:rsid w:val="00180951"/>
    <w:rsid w:val="00180D6F"/>
    <w:rsid w:val="00181086"/>
    <w:rsid w:val="0018113B"/>
    <w:rsid w:val="0018230A"/>
    <w:rsid w:val="001829E3"/>
    <w:rsid w:val="00182C5B"/>
    <w:rsid w:val="00182D79"/>
    <w:rsid w:val="00183012"/>
    <w:rsid w:val="00184002"/>
    <w:rsid w:val="001840C0"/>
    <w:rsid w:val="001841E6"/>
    <w:rsid w:val="001845EA"/>
    <w:rsid w:val="00184635"/>
    <w:rsid w:val="0018504D"/>
    <w:rsid w:val="00185CFC"/>
    <w:rsid w:val="0018778E"/>
    <w:rsid w:val="00187A94"/>
    <w:rsid w:val="001913AE"/>
    <w:rsid w:val="00191623"/>
    <w:rsid w:val="00191CDF"/>
    <w:rsid w:val="00191F34"/>
    <w:rsid w:val="00192074"/>
    <w:rsid w:val="001920A8"/>
    <w:rsid w:val="001923C6"/>
    <w:rsid w:val="001926C8"/>
    <w:rsid w:val="001929BB"/>
    <w:rsid w:val="00192E78"/>
    <w:rsid w:val="00193168"/>
    <w:rsid w:val="00193477"/>
    <w:rsid w:val="00193490"/>
    <w:rsid w:val="00193C5F"/>
    <w:rsid w:val="0019428E"/>
    <w:rsid w:val="00194326"/>
    <w:rsid w:val="001944D6"/>
    <w:rsid w:val="00194576"/>
    <w:rsid w:val="001949BC"/>
    <w:rsid w:val="00194E1E"/>
    <w:rsid w:val="00194F52"/>
    <w:rsid w:val="00194FFF"/>
    <w:rsid w:val="00195C96"/>
    <w:rsid w:val="001969A5"/>
    <w:rsid w:val="00196C71"/>
    <w:rsid w:val="001970BB"/>
    <w:rsid w:val="001970FE"/>
    <w:rsid w:val="0019711E"/>
    <w:rsid w:val="00197917"/>
    <w:rsid w:val="001A0EF3"/>
    <w:rsid w:val="001A10C4"/>
    <w:rsid w:val="001A12F8"/>
    <w:rsid w:val="001A14EF"/>
    <w:rsid w:val="001A172A"/>
    <w:rsid w:val="001A1826"/>
    <w:rsid w:val="001A1A15"/>
    <w:rsid w:val="001A1A4D"/>
    <w:rsid w:val="001A1B1E"/>
    <w:rsid w:val="001A2196"/>
    <w:rsid w:val="001A2350"/>
    <w:rsid w:val="001A252D"/>
    <w:rsid w:val="001A29F7"/>
    <w:rsid w:val="001A3A51"/>
    <w:rsid w:val="001A3D8B"/>
    <w:rsid w:val="001A49BD"/>
    <w:rsid w:val="001A4E0C"/>
    <w:rsid w:val="001A5B6E"/>
    <w:rsid w:val="001A5CE2"/>
    <w:rsid w:val="001A5F68"/>
    <w:rsid w:val="001A6463"/>
    <w:rsid w:val="001A6DD9"/>
    <w:rsid w:val="001A6FF5"/>
    <w:rsid w:val="001B00D6"/>
    <w:rsid w:val="001B02F8"/>
    <w:rsid w:val="001B03B1"/>
    <w:rsid w:val="001B08E3"/>
    <w:rsid w:val="001B09C1"/>
    <w:rsid w:val="001B1621"/>
    <w:rsid w:val="001B1E41"/>
    <w:rsid w:val="001B1FF3"/>
    <w:rsid w:val="001B2D1C"/>
    <w:rsid w:val="001B2F9A"/>
    <w:rsid w:val="001B3597"/>
    <w:rsid w:val="001B4477"/>
    <w:rsid w:val="001B512B"/>
    <w:rsid w:val="001B5734"/>
    <w:rsid w:val="001B5838"/>
    <w:rsid w:val="001B6B82"/>
    <w:rsid w:val="001B6C36"/>
    <w:rsid w:val="001B6DFF"/>
    <w:rsid w:val="001B74DC"/>
    <w:rsid w:val="001B7D95"/>
    <w:rsid w:val="001C01D6"/>
    <w:rsid w:val="001C0381"/>
    <w:rsid w:val="001C1A5E"/>
    <w:rsid w:val="001C1DDC"/>
    <w:rsid w:val="001C20C6"/>
    <w:rsid w:val="001C2D43"/>
    <w:rsid w:val="001C2DD9"/>
    <w:rsid w:val="001C3055"/>
    <w:rsid w:val="001C3929"/>
    <w:rsid w:val="001C4007"/>
    <w:rsid w:val="001C42B7"/>
    <w:rsid w:val="001C4425"/>
    <w:rsid w:val="001C4FAD"/>
    <w:rsid w:val="001C50D3"/>
    <w:rsid w:val="001C57C7"/>
    <w:rsid w:val="001C5A37"/>
    <w:rsid w:val="001C5DDC"/>
    <w:rsid w:val="001C6243"/>
    <w:rsid w:val="001C65E5"/>
    <w:rsid w:val="001C6C5E"/>
    <w:rsid w:val="001C780A"/>
    <w:rsid w:val="001C7D32"/>
    <w:rsid w:val="001C7E2A"/>
    <w:rsid w:val="001D006C"/>
    <w:rsid w:val="001D09A2"/>
    <w:rsid w:val="001D09D8"/>
    <w:rsid w:val="001D12B2"/>
    <w:rsid w:val="001D17F6"/>
    <w:rsid w:val="001D1C70"/>
    <w:rsid w:val="001D2237"/>
    <w:rsid w:val="001D3387"/>
    <w:rsid w:val="001D3442"/>
    <w:rsid w:val="001D3A4C"/>
    <w:rsid w:val="001D41AB"/>
    <w:rsid w:val="001D4391"/>
    <w:rsid w:val="001D45F8"/>
    <w:rsid w:val="001D5877"/>
    <w:rsid w:val="001D5919"/>
    <w:rsid w:val="001D5CEC"/>
    <w:rsid w:val="001D6530"/>
    <w:rsid w:val="001D761B"/>
    <w:rsid w:val="001D7BA2"/>
    <w:rsid w:val="001D7C05"/>
    <w:rsid w:val="001E062A"/>
    <w:rsid w:val="001E068C"/>
    <w:rsid w:val="001E1121"/>
    <w:rsid w:val="001E11BD"/>
    <w:rsid w:val="001E1D3D"/>
    <w:rsid w:val="001E1DB7"/>
    <w:rsid w:val="001E22F1"/>
    <w:rsid w:val="001E2AFA"/>
    <w:rsid w:val="001E38E8"/>
    <w:rsid w:val="001E4E5D"/>
    <w:rsid w:val="001E5926"/>
    <w:rsid w:val="001E6093"/>
    <w:rsid w:val="001E6D1D"/>
    <w:rsid w:val="001E6DD8"/>
    <w:rsid w:val="001E72EE"/>
    <w:rsid w:val="001E7E31"/>
    <w:rsid w:val="001F06C5"/>
    <w:rsid w:val="001F07E5"/>
    <w:rsid w:val="001F0BFA"/>
    <w:rsid w:val="001F1067"/>
    <w:rsid w:val="001F1345"/>
    <w:rsid w:val="001F1D92"/>
    <w:rsid w:val="001F24DF"/>
    <w:rsid w:val="001F2726"/>
    <w:rsid w:val="001F28FD"/>
    <w:rsid w:val="001F2922"/>
    <w:rsid w:val="001F29D5"/>
    <w:rsid w:val="001F2E0B"/>
    <w:rsid w:val="001F3236"/>
    <w:rsid w:val="001F370F"/>
    <w:rsid w:val="001F3F2A"/>
    <w:rsid w:val="001F47D3"/>
    <w:rsid w:val="001F5244"/>
    <w:rsid w:val="001F58F9"/>
    <w:rsid w:val="001F5F88"/>
    <w:rsid w:val="001F6CBB"/>
    <w:rsid w:val="001F6FBC"/>
    <w:rsid w:val="002002EB"/>
    <w:rsid w:val="0020056F"/>
    <w:rsid w:val="002007E2"/>
    <w:rsid w:val="00200811"/>
    <w:rsid w:val="00200D28"/>
    <w:rsid w:val="002014A8"/>
    <w:rsid w:val="00201920"/>
    <w:rsid w:val="002023E8"/>
    <w:rsid w:val="002029A5"/>
    <w:rsid w:val="00202C27"/>
    <w:rsid w:val="00202EC6"/>
    <w:rsid w:val="00203069"/>
    <w:rsid w:val="002030F6"/>
    <w:rsid w:val="002034CB"/>
    <w:rsid w:val="002036AF"/>
    <w:rsid w:val="00203EA1"/>
    <w:rsid w:val="00204AB4"/>
    <w:rsid w:val="00204F24"/>
    <w:rsid w:val="00205701"/>
    <w:rsid w:val="002057B6"/>
    <w:rsid w:val="00205B56"/>
    <w:rsid w:val="0020666D"/>
    <w:rsid w:val="0020713C"/>
    <w:rsid w:val="0020737F"/>
    <w:rsid w:val="002103F9"/>
    <w:rsid w:val="002108A7"/>
    <w:rsid w:val="00210A48"/>
    <w:rsid w:val="00210D4D"/>
    <w:rsid w:val="00210E19"/>
    <w:rsid w:val="00211712"/>
    <w:rsid w:val="002124CA"/>
    <w:rsid w:val="002129B5"/>
    <w:rsid w:val="00212D99"/>
    <w:rsid w:val="002132C7"/>
    <w:rsid w:val="002145EC"/>
    <w:rsid w:val="002147A1"/>
    <w:rsid w:val="0021496B"/>
    <w:rsid w:val="0021504E"/>
    <w:rsid w:val="00215583"/>
    <w:rsid w:val="00215B9E"/>
    <w:rsid w:val="00215C04"/>
    <w:rsid w:val="00216262"/>
    <w:rsid w:val="0021638C"/>
    <w:rsid w:val="00216813"/>
    <w:rsid w:val="0021718E"/>
    <w:rsid w:val="002171C9"/>
    <w:rsid w:val="0021769C"/>
    <w:rsid w:val="002200A0"/>
    <w:rsid w:val="0022038C"/>
    <w:rsid w:val="002206D8"/>
    <w:rsid w:val="00220999"/>
    <w:rsid w:val="0022106D"/>
    <w:rsid w:val="002215E7"/>
    <w:rsid w:val="00221739"/>
    <w:rsid w:val="002218BE"/>
    <w:rsid w:val="002224D2"/>
    <w:rsid w:val="00222827"/>
    <w:rsid w:val="00222A0E"/>
    <w:rsid w:val="00222DC9"/>
    <w:rsid w:val="00223A46"/>
    <w:rsid w:val="00223D2A"/>
    <w:rsid w:val="00223D6B"/>
    <w:rsid w:val="00224639"/>
    <w:rsid w:val="00224671"/>
    <w:rsid w:val="00224D31"/>
    <w:rsid w:val="00225637"/>
    <w:rsid w:val="002260BF"/>
    <w:rsid w:val="00226182"/>
    <w:rsid w:val="00226E5A"/>
    <w:rsid w:val="00226E9B"/>
    <w:rsid w:val="0022732C"/>
    <w:rsid w:val="002273E2"/>
    <w:rsid w:val="00227BF8"/>
    <w:rsid w:val="00227FAC"/>
    <w:rsid w:val="00231B5B"/>
    <w:rsid w:val="002324EF"/>
    <w:rsid w:val="00232525"/>
    <w:rsid w:val="00232ED9"/>
    <w:rsid w:val="0023309E"/>
    <w:rsid w:val="002339C2"/>
    <w:rsid w:val="00233B89"/>
    <w:rsid w:val="00233E6A"/>
    <w:rsid w:val="00233EB0"/>
    <w:rsid w:val="0023473C"/>
    <w:rsid w:val="00234760"/>
    <w:rsid w:val="002350FC"/>
    <w:rsid w:val="0023581E"/>
    <w:rsid w:val="0023599F"/>
    <w:rsid w:val="00236294"/>
    <w:rsid w:val="00236386"/>
    <w:rsid w:val="002365E2"/>
    <w:rsid w:val="00236C4C"/>
    <w:rsid w:val="002370F1"/>
    <w:rsid w:val="00237B85"/>
    <w:rsid w:val="002405A8"/>
    <w:rsid w:val="0024088B"/>
    <w:rsid w:val="002413B3"/>
    <w:rsid w:val="00241D78"/>
    <w:rsid w:val="002430E2"/>
    <w:rsid w:val="00243754"/>
    <w:rsid w:val="002441EB"/>
    <w:rsid w:val="0024480B"/>
    <w:rsid w:val="002452E6"/>
    <w:rsid w:val="002453BC"/>
    <w:rsid w:val="00245516"/>
    <w:rsid w:val="00246066"/>
    <w:rsid w:val="002462A9"/>
    <w:rsid w:val="00246603"/>
    <w:rsid w:val="00246606"/>
    <w:rsid w:val="002466C7"/>
    <w:rsid w:val="00246DC5"/>
    <w:rsid w:val="00246F1C"/>
    <w:rsid w:val="00246F9A"/>
    <w:rsid w:val="00247447"/>
    <w:rsid w:val="0024762C"/>
    <w:rsid w:val="00250085"/>
    <w:rsid w:val="00250E35"/>
    <w:rsid w:val="00251902"/>
    <w:rsid w:val="00252583"/>
    <w:rsid w:val="0025262B"/>
    <w:rsid w:val="002532A6"/>
    <w:rsid w:val="00253872"/>
    <w:rsid w:val="00254457"/>
    <w:rsid w:val="00255219"/>
    <w:rsid w:val="00255243"/>
    <w:rsid w:val="00255352"/>
    <w:rsid w:val="00255B66"/>
    <w:rsid w:val="00255DA0"/>
    <w:rsid w:val="002567DC"/>
    <w:rsid w:val="0025731F"/>
    <w:rsid w:val="0025738A"/>
    <w:rsid w:val="00257951"/>
    <w:rsid w:val="00260258"/>
    <w:rsid w:val="00260291"/>
    <w:rsid w:val="00260983"/>
    <w:rsid w:val="00260F2A"/>
    <w:rsid w:val="00261F69"/>
    <w:rsid w:val="00261FC8"/>
    <w:rsid w:val="00263058"/>
    <w:rsid w:val="00263B3E"/>
    <w:rsid w:val="002643AD"/>
    <w:rsid w:val="002665DA"/>
    <w:rsid w:val="0026663C"/>
    <w:rsid w:val="0026672C"/>
    <w:rsid w:val="00266D99"/>
    <w:rsid w:val="00266FCC"/>
    <w:rsid w:val="002673AD"/>
    <w:rsid w:val="00270308"/>
    <w:rsid w:val="00270B51"/>
    <w:rsid w:val="0027156D"/>
    <w:rsid w:val="00272219"/>
    <w:rsid w:val="0027231B"/>
    <w:rsid w:val="00272A29"/>
    <w:rsid w:val="002737FD"/>
    <w:rsid w:val="00273B92"/>
    <w:rsid w:val="00273C15"/>
    <w:rsid w:val="00274B9E"/>
    <w:rsid w:val="00276241"/>
    <w:rsid w:val="002770D4"/>
    <w:rsid w:val="00277255"/>
    <w:rsid w:val="00277628"/>
    <w:rsid w:val="00280073"/>
    <w:rsid w:val="0028008D"/>
    <w:rsid w:val="0028041C"/>
    <w:rsid w:val="00280690"/>
    <w:rsid w:val="00280CD5"/>
    <w:rsid w:val="0028190D"/>
    <w:rsid w:val="00282201"/>
    <w:rsid w:val="0028239F"/>
    <w:rsid w:val="002826DE"/>
    <w:rsid w:val="002827E2"/>
    <w:rsid w:val="00282A94"/>
    <w:rsid w:val="00282B54"/>
    <w:rsid w:val="00283124"/>
    <w:rsid w:val="00283B32"/>
    <w:rsid w:val="0028492B"/>
    <w:rsid w:val="002850A8"/>
    <w:rsid w:val="00285549"/>
    <w:rsid w:val="00285A52"/>
    <w:rsid w:val="00285D75"/>
    <w:rsid w:val="00285EDF"/>
    <w:rsid w:val="0028601D"/>
    <w:rsid w:val="00286792"/>
    <w:rsid w:val="00286B6E"/>
    <w:rsid w:val="00287195"/>
    <w:rsid w:val="00287622"/>
    <w:rsid w:val="00287667"/>
    <w:rsid w:val="002876E7"/>
    <w:rsid w:val="00290553"/>
    <w:rsid w:val="00291492"/>
    <w:rsid w:val="00291F36"/>
    <w:rsid w:val="00292191"/>
    <w:rsid w:val="002932EA"/>
    <w:rsid w:val="00294065"/>
    <w:rsid w:val="00294297"/>
    <w:rsid w:val="0029438C"/>
    <w:rsid w:val="00294556"/>
    <w:rsid w:val="00294F81"/>
    <w:rsid w:val="00296694"/>
    <w:rsid w:val="00296F81"/>
    <w:rsid w:val="002970CE"/>
    <w:rsid w:val="00297627"/>
    <w:rsid w:val="00297AC6"/>
    <w:rsid w:val="002A0064"/>
    <w:rsid w:val="002A019C"/>
    <w:rsid w:val="002A026F"/>
    <w:rsid w:val="002A06DE"/>
    <w:rsid w:val="002A1534"/>
    <w:rsid w:val="002A1917"/>
    <w:rsid w:val="002A20BC"/>
    <w:rsid w:val="002A2E81"/>
    <w:rsid w:val="002A31F5"/>
    <w:rsid w:val="002A46CD"/>
    <w:rsid w:val="002A4B8A"/>
    <w:rsid w:val="002A4ED0"/>
    <w:rsid w:val="002A5227"/>
    <w:rsid w:val="002A610B"/>
    <w:rsid w:val="002A64D8"/>
    <w:rsid w:val="002A79A4"/>
    <w:rsid w:val="002B0964"/>
    <w:rsid w:val="002B0F96"/>
    <w:rsid w:val="002B1B71"/>
    <w:rsid w:val="002B1D97"/>
    <w:rsid w:val="002B1E9B"/>
    <w:rsid w:val="002B224D"/>
    <w:rsid w:val="002B22DF"/>
    <w:rsid w:val="002B28EF"/>
    <w:rsid w:val="002B2B9D"/>
    <w:rsid w:val="002B5174"/>
    <w:rsid w:val="002B5C8B"/>
    <w:rsid w:val="002B5E84"/>
    <w:rsid w:val="002B6294"/>
    <w:rsid w:val="002B632B"/>
    <w:rsid w:val="002B64FA"/>
    <w:rsid w:val="002B7111"/>
    <w:rsid w:val="002B72E4"/>
    <w:rsid w:val="002B75CB"/>
    <w:rsid w:val="002B7FE9"/>
    <w:rsid w:val="002C039D"/>
    <w:rsid w:val="002C064F"/>
    <w:rsid w:val="002C126E"/>
    <w:rsid w:val="002C1774"/>
    <w:rsid w:val="002C25A3"/>
    <w:rsid w:val="002C2CF7"/>
    <w:rsid w:val="002C3338"/>
    <w:rsid w:val="002C351B"/>
    <w:rsid w:val="002C3524"/>
    <w:rsid w:val="002C3701"/>
    <w:rsid w:val="002C3A67"/>
    <w:rsid w:val="002C3B01"/>
    <w:rsid w:val="002C3DD7"/>
    <w:rsid w:val="002C3E4A"/>
    <w:rsid w:val="002C41C6"/>
    <w:rsid w:val="002C43A0"/>
    <w:rsid w:val="002C50F4"/>
    <w:rsid w:val="002C672D"/>
    <w:rsid w:val="002D00F8"/>
    <w:rsid w:val="002D0FF0"/>
    <w:rsid w:val="002D118B"/>
    <w:rsid w:val="002D15AC"/>
    <w:rsid w:val="002D1692"/>
    <w:rsid w:val="002D27D3"/>
    <w:rsid w:val="002D2934"/>
    <w:rsid w:val="002D2C82"/>
    <w:rsid w:val="002D31BC"/>
    <w:rsid w:val="002D3765"/>
    <w:rsid w:val="002D3E24"/>
    <w:rsid w:val="002D4087"/>
    <w:rsid w:val="002D41B7"/>
    <w:rsid w:val="002D43E1"/>
    <w:rsid w:val="002D5F08"/>
    <w:rsid w:val="002D624B"/>
    <w:rsid w:val="002D62E9"/>
    <w:rsid w:val="002D6866"/>
    <w:rsid w:val="002D7D51"/>
    <w:rsid w:val="002E063E"/>
    <w:rsid w:val="002E08C3"/>
    <w:rsid w:val="002E09E0"/>
    <w:rsid w:val="002E102C"/>
    <w:rsid w:val="002E1874"/>
    <w:rsid w:val="002E20A8"/>
    <w:rsid w:val="002E2324"/>
    <w:rsid w:val="002E263D"/>
    <w:rsid w:val="002E33F0"/>
    <w:rsid w:val="002E342A"/>
    <w:rsid w:val="002E4D7F"/>
    <w:rsid w:val="002E502F"/>
    <w:rsid w:val="002E5447"/>
    <w:rsid w:val="002E55DE"/>
    <w:rsid w:val="002E5FD7"/>
    <w:rsid w:val="002E6509"/>
    <w:rsid w:val="002E67F0"/>
    <w:rsid w:val="002E6B7B"/>
    <w:rsid w:val="002E6D86"/>
    <w:rsid w:val="002E7037"/>
    <w:rsid w:val="002E7B2A"/>
    <w:rsid w:val="002E7D84"/>
    <w:rsid w:val="002E7DDC"/>
    <w:rsid w:val="002F0473"/>
    <w:rsid w:val="002F0843"/>
    <w:rsid w:val="002F173F"/>
    <w:rsid w:val="002F1906"/>
    <w:rsid w:val="002F281C"/>
    <w:rsid w:val="002F3079"/>
    <w:rsid w:val="002F4682"/>
    <w:rsid w:val="002F4E17"/>
    <w:rsid w:val="002F68FE"/>
    <w:rsid w:val="002F71A7"/>
    <w:rsid w:val="0030038D"/>
    <w:rsid w:val="00300B8C"/>
    <w:rsid w:val="00300D0C"/>
    <w:rsid w:val="00301548"/>
    <w:rsid w:val="00301B7A"/>
    <w:rsid w:val="0030251F"/>
    <w:rsid w:val="0030280C"/>
    <w:rsid w:val="00303743"/>
    <w:rsid w:val="00304F48"/>
    <w:rsid w:val="003050EC"/>
    <w:rsid w:val="00305A83"/>
    <w:rsid w:val="003064E4"/>
    <w:rsid w:val="0030657A"/>
    <w:rsid w:val="00306DED"/>
    <w:rsid w:val="003075FB"/>
    <w:rsid w:val="00310526"/>
    <w:rsid w:val="00310961"/>
    <w:rsid w:val="003112D6"/>
    <w:rsid w:val="003117E2"/>
    <w:rsid w:val="00311D6B"/>
    <w:rsid w:val="00312BD0"/>
    <w:rsid w:val="003130C9"/>
    <w:rsid w:val="00313847"/>
    <w:rsid w:val="00314F91"/>
    <w:rsid w:val="00315836"/>
    <w:rsid w:val="00316F09"/>
    <w:rsid w:val="00316FF6"/>
    <w:rsid w:val="00317653"/>
    <w:rsid w:val="00317686"/>
    <w:rsid w:val="003179C3"/>
    <w:rsid w:val="00320A6D"/>
    <w:rsid w:val="0032105F"/>
    <w:rsid w:val="00321768"/>
    <w:rsid w:val="00321781"/>
    <w:rsid w:val="00321FC3"/>
    <w:rsid w:val="00323A8C"/>
    <w:rsid w:val="00323DD8"/>
    <w:rsid w:val="0032534D"/>
    <w:rsid w:val="00325363"/>
    <w:rsid w:val="00326030"/>
    <w:rsid w:val="00326E28"/>
    <w:rsid w:val="003272B7"/>
    <w:rsid w:val="003273F2"/>
    <w:rsid w:val="00327C6A"/>
    <w:rsid w:val="00327D4B"/>
    <w:rsid w:val="00327FA5"/>
    <w:rsid w:val="00327FED"/>
    <w:rsid w:val="00330D4C"/>
    <w:rsid w:val="0033170A"/>
    <w:rsid w:val="0033197F"/>
    <w:rsid w:val="003333D7"/>
    <w:rsid w:val="00333489"/>
    <w:rsid w:val="00333A59"/>
    <w:rsid w:val="00334718"/>
    <w:rsid w:val="00334728"/>
    <w:rsid w:val="00334CAE"/>
    <w:rsid w:val="00336FE3"/>
    <w:rsid w:val="00337A87"/>
    <w:rsid w:val="00337F66"/>
    <w:rsid w:val="00340A81"/>
    <w:rsid w:val="00340CC2"/>
    <w:rsid w:val="00340E9F"/>
    <w:rsid w:val="00341644"/>
    <w:rsid w:val="00341C51"/>
    <w:rsid w:val="00342652"/>
    <w:rsid w:val="00342713"/>
    <w:rsid w:val="0034284E"/>
    <w:rsid w:val="003429BE"/>
    <w:rsid w:val="00343AD5"/>
    <w:rsid w:val="00343F80"/>
    <w:rsid w:val="00344985"/>
    <w:rsid w:val="00345124"/>
    <w:rsid w:val="00345473"/>
    <w:rsid w:val="00345478"/>
    <w:rsid w:val="0034554A"/>
    <w:rsid w:val="003457D9"/>
    <w:rsid w:val="00345BB4"/>
    <w:rsid w:val="00346D8E"/>
    <w:rsid w:val="00346DE0"/>
    <w:rsid w:val="003473C3"/>
    <w:rsid w:val="00347C08"/>
    <w:rsid w:val="0035008D"/>
    <w:rsid w:val="003505D9"/>
    <w:rsid w:val="00350758"/>
    <w:rsid w:val="0035080C"/>
    <w:rsid w:val="00351466"/>
    <w:rsid w:val="00351495"/>
    <w:rsid w:val="00351B93"/>
    <w:rsid w:val="003520BC"/>
    <w:rsid w:val="003529EB"/>
    <w:rsid w:val="00352C5D"/>
    <w:rsid w:val="00352D53"/>
    <w:rsid w:val="0035327E"/>
    <w:rsid w:val="0035359F"/>
    <w:rsid w:val="003539E9"/>
    <w:rsid w:val="00353A4A"/>
    <w:rsid w:val="003551CE"/>
    <w:rsid w:val="00355B17"/>
    <w:rsid w:val="00355F77"/>
    <w:rsid w:val="00356D2F"/>
    <w:rsid w:val="00356F3C"/>
    <w:rsid w:val="0035719E"/>
    <w:rsid w:val="0035754B"/>
    <w:rsid w:val="003577E0"/>
    <w:rsid w:val="00357949"/>
    <w:rsid w:val="003603E4"/>
    <w:rsid w:val="003609FE"/>
    <w:rsid w:val="00361300"/>
    <w:rsid w:val="00361AC7"/>
    <w:rsid w:val="003627BD"/>
    <w:rsid w:val="003628EC"/>
    <w:rsid w:val="003629FD"/>
    <w:rsid w:val="00363419"/>
    <w:rsid w:val="00363D2B"/>
    <w:rsid w:val="00363E2C"/>
    <w:rsid w:val="003644A1"/>
    <w:rsid w:val="00364DF8"/>
    <w:rsid w:val="0036536C"/>
    <w:rsid w:val="003655FA"/>
    <w:rsid w:val="00365701"/>
    <w:rsid w:val="0036584B"/>
    <w:rsid w:val="00365A2D"/>
    <w:rsid w:val="00365F54"/>
    <w:rsid w:val="00366029"/>
    <w:rsid w:val="003661B3"/>
    <w:rsid w:val="00366E7A"/>
    <w:rsid w:val="003674D0"/>
    <w:rsid w:val="00367B8F"/>
    <w:rsid w:val="003704FC"/>
    <w:rsid w:val="00371163"/>
    <w:rsid w:val="00371B84"/>
    <w:rsid w:val="00371DC3"/>
    <w:rsid w:val="00371E40"/>
    <w:rsid w:val="00373F37"/>
    <w:rsid w:val="003742CF"/>
    <w:rsid w:val="00374496"/>
    <w:rsid w:val="00374755"/>
    <w:rsid w:val="00375502"/>
    <w:rsid w:val="00376466"/>
    <w:rsid w:val="003766C3"/>
    <w:rsid w:val="00376C4B"/>
    <w:rsid w:val="00376D36"/>
    <w:rsid w:val="00377248"/>
    <w:rsid w:val="003800A3"/>
    <w:rsid w:val="003801C2"/>
    <w:rsid w:val="003802F1"/>
    <w:rsid w:val="003803BD"/>
    <w:rsid w:val="00380447"/>
    <w:rsid w:val="00381231"/>
    <w:rsid w:val="00381284"/>
    <w:rsid w:val="00381CBB"/>
    <w:rsid w:val="003820EF"/>
    <w:rsid w:val="00382224"/>
    <w:rsid w:val="00382292"/>
    <w:rsid w:val="00382A43"/>
    <w:rsid w:val="00382CAC"/>
    <w:rsid w:val="00383591"/>
    <w:rsid w:val="00384136"/>
    <w:rsid w:val="00384449"/>
    <w:rsid w:val="00384F5C"/>
    <w:rsid w:val="00385F31"/>
    <w:rsid w:val="003860A9"/>
    <w:rsid w:val="003877C4"/>
    <w:rsid w:val="003878EC"/>
    <w:rsid w:val="0039008F"/>
    <w:rsid w:val="003904AD"/>
    <w:rsid w:val="00390C52"/>
    <w:rsid w:val="00392B47"/>
    <w:rsid w:val="00393071"/>
    <w:rsid w:val="00393202"/>
    <w:rsid w:val="0039362C"/>
    <w:rsid w:val="003936CC"/>
    <w:rsid w:val="00393B61"/>
    <w:rsid w:val="00393CC8"/>
    <w:rsid w:val="00393EF8"/>
    <w:rsid w:val="00394BC9"/>
    <w:rsid w:val="00394FA7"/>
    <w:rsid w:val="0039644C"/>
    <w:rsid w:val="003965A7"/>
    <w:rsid w:val="00396DE6"/>
    <w:rsid w:val="00396F06"/>
    <w:rsid w:val="003A032C"/>
    <w:rsid w:val="003A1E84"/>
    <w:rsid w:val="003A1FB0"/>
    <w:rsid w:val="003A20E4"/>
    <w:rsid w:val="003A2443"/>
    <w:rsid w:val="003A32E1"/>
    <w:rsid w:val="003A3B42"/>
    <w:rsid w:val="003A43A4"/>
    <w:rsid w:val="003A4CC9"/>
    <w:rsid w:val="003A4DFB"/>
    <w:rsid w:val="003A4E84"/>
    <w:rsid w:val="003A54BE"/>
    <w:rsid w:val="003A571E"/>
    <w:rsid w:val="003A5B25"/>
    <w:rsid w:val="003A66C0"/>
    <w:rsid w:val="003A67B7"/>
    <w:rsid w:val="003A7677"/>
    <w:rsid w:val="003A7685"/>
    <w:rsid w:val="003A77E0"/>
    <w:rsid w:val="003A7FFE"/>
    <w:rsid w:val="003B0140"/>
    <w:rsid w:val="003B0171"/>
    <w:rsid w:val="003B0495"/>
    <w:rsid w:val="003B049E"/>
    <w:rsid w:val="003B09C3"/>
    <w:rsid w:val="003B0D68"/>
    <w:rsid w:val="003B1E24"/>
    <w:rsid w:val="003B39F2"/>
    <w:rsid w:val="003B50ED"/>
    <w:rsid w:val="003B6CB6"/>
    <w:rsid w:val="003B7410"/>
    <w:rsid w:val="003B7834"/>
    <w:rsid w:val="003C0186"/>
    <w:rsid w:val="003C0575"/>
    <w:rsid w:val="003C12E4"/>
    <w:rsid w:val="003C15F7"/>
    <w:rsid w:val="003C16DA"/>
    <w:rsid w:val="003C17AC"/>
    <w:rsid w:val="003C17C9"/>
    <w:rsid w:val="003C18DA"/>
    <w:rsid w:val="003C3786"/>
    <w:rsid w:val="003C38F7"/>
    <w:rsid w:val="003C3A27"/>
    <w:rsid w:val="003C3D6B"/>
    <w:rsid w:val="003C3EAE"/>
    <w:rsid w:val="003C4BDC"/>
    <w:rsid w:val="003C556F"/>
    <w:rsid w:val="003C55BF"/>
    <w:rsid w:val="003C67DE"/>
    <w:rsid w:val="003C70B0"/>
    <w:rsid w:val="003D00DB"/>
    <w:rsid w:val="003D025B"/>
    <w:rsid w:val="003D05BD"/>
    <w:rsid w:val="003D0903"/>
    <w:rsid w:val="003D0927"/>
    <w:rsid w:val="003D0E90"/>
    <w:rsid w:val="003D0EC1"/>
    <w:rsid w:val="003D1363"/>
    <w:rsid w:val="003D1560"/>
    <w:rsid w:val="003D1743"/>
    <w:rsid w:val="003D1CB0"/>
    <w:rsid w:val="003D1E9E"/>
    <w:rsid w:val="003D23E3"/>
    <w:rsid w:val="003D2E04"/>
    <w:rsid w:val="003D3476"/>
    <w:rsid w:val="003D4302"/>
    <w:rsid w:val="003D4D34"/>
    <w:rsid w:val="003D54B2"/>
    <w:rsid w:val="003D5CE2"/>
    <w:rsid w:val="003D63DE"/>
    <w:rsid w:val="003D6648"/>
    <w:rsid w:val="003D6C60"/>
    <w:rsid w:val="003D6D98"/>
    <w:rsid w:val="003D78B7"/>
    <w:rsid w:val="003E0B1B"/>
    <w:rsid w:val="003E1D66"/>
    <w:rsid w:val="003E2F20"/>
    <w:rsid w:val="003E3552"/>
    <w:rsid w:val="003E4924"/>
    <w:rsid w:val="003E4B5D"/>
    <w:rsid w:val="003E4DEE"/>
    <w:rsid w:val="003E51C6"/>
    <w:rsid w:val="003E5509"/>
    <w:rsid w:val="003E5695"/>
    <w:rsid w:val="003E59C8"/>
    <w:rsid w:val="003E5BC6"/>
    <w:rsid w:val="003E5E11"/>
    <w:rsid w:val="003E60AD"/>
    <w:rsid w:val="003E651A"/>
    <w:rsid w:val="003E6525"/>
    <w:rsid w:val="003E6822"/>
    <w:rsid w:val="003E7678"/>
    <w:rsid w:val="003E7B02"/>
    <w:rsid w:val="003E7ED6"/>
    <w:rsid w:val="003E7F68"/>
    <w:rsid w:val="003F0908"/>
    <w:rsid w:val="003F1575"/>
    <w:rsid w:val="003F183C"/>
    <w:rsid w:val="003F1DF3"/>
    <w:rsid w:val="003F220D"/>
    <w:rsid w:val="003F3FEB"/>
    <w:rsid w:val="003F4325"/>
    <w:rsid w:val="003F48D0"/>
    <w:rsid w:val="003F5415"/>
    <w:rsid w:val="003F608D"/>
    <w:rsid w:val="003F6A89"/>
    <w:rsid w:val="003F6E9F"/>
    <w:rsid w:val="003F7273"/>
    <w:rsid w:val="00400A76"/>
    <w:rsid w:val="00400DA9"/>
    <w:rsid w:val="00400FF1"/>
    <w:rsid w:val="0040215D"/>
    <w:rsid w:val="00402F23"/>
    <w:rsid w:val="00403842"/>
    <w:rsid w:val="00403B27"/>
    <w:rsid w:val="00403D56"/>
    <w:rsid w:val="0040474C"/>
    <w:rsid w:val="004048AF"/>
    <w:rsid w:val="00404B68"/>
    <w:rsid w:val="00405651"/>
    <w:rsid w:val="00405DCB"/>
    <w:rsid w:val="00405FDB"/>
    <w:rsid w:val="00411130"/>
    <w:rsid w:val="004116A6"/>
    <w:rsid w:val="004116B0"/>
    <w:rsid w:val="00411A56"/>
    <w:rsid w:val="00412286"/>
    <w:rsid w:val="0041243D"/>
    <w:rsid w:val="00412C69"/>
    <w:rsid w:val="00413211"/>
    <w:rsid w:val="0041386C"/>
    <w:rsid w:val="0041459D"/>
    <w:rsid w:val="00414EC1"/>
    <w:rsid w:val="004151AE"/>
    <w:rsid w:val="00415621"/>
    <w:rsid w:val="00415694"/>
    <w:rsid w:val="00415904"/>
    <w:rsid w:val="00415CA6"/>
    <w:rsid w:val="00416F2D"/>
    <w:rsid w:val="00417768"/>
    <w:rsid w:val="00417840"/>
    <w:rsid w:val="00417ABA"/>
    <w:rsid w:val="00417E7F"/>
    <w:rsid w:val="0042049A"/>
    <w:rsid w:val="004207DD"/>
    <w:rsid w:val="00420906"/>
    <w:rsid w:val="0042094F"/>
    <w:rsid w:val="00420A18"/>
    <w:rsid w:val="00420D42"/>
    <w:rsid w:val="00420EE0"/>
    <w:rsid w:val="004211FE"/>
    <w:rsid w:val="00421790"/>
    <w:rsid w:val="00421877"/>
    <w:rsid w:val="00421951"/>
    <w:rsid w:val="00421955"/>
    <w:rsid w:val="004219D9"/>
    <w:rsid w:val="00421B06"/>
    <w:rsid w:val="00422DE8"/>
    <w:rsid w:val="00422FD0"/>
    <w:rsid w:val="004235E7"/>
    <w:rsid w:val="00423E8B"/>
    <w:rsid w:val="004242B4"/>
    <w:rsid w:val="00424332"/>
    <w:rsid w:val="0042457A"/>
    <w:rsid w:val="004253CA"/>
    <w:rsid w:val="00425639"/>
    <w:rsid w:val="00425D66"/>
    <w:rsid w:val="0042651C"/>
    <w:rsid w:val="0042666C"/>
    <w:rsid w:val="00426D05"/>
    <w:rsid w:val="00427616"/>
    <w:rsid w:val="00427682"/>
    <w:rsid w:val="00427B65"/>
    <w:rsid w:val="00427BD4"/>
    <w:rsid w:val="00430132"/>
    <w:rsid w:val="00430516"/>
    <w:rsid w:val="0043097F"/>
    <w:rsid w:val="00431201"/>
    <w:rsid w:val="00431800"/>
    <w:rsid w:val="00431A83"/>
    <w:rsid w:val="00432788"/>
    <w:rsid w:val="00432880"/>
    <w:rsid w:val="00434B37"/>
    <w:rsid w:val="00435816"/>
    <w:rsid w:val="00435C10"/>
    <w:rsid w:val="0043607C"/>
    <w:rsid w:val="00436508"/>
    <w:rsid w:val="0043759B"/>
    <w:rsid w:val="00437653"/>
    <w:rsid w:val="00437DF4"/>
    <w:rsid w:val="00440117"/>
    <w:rsid w:val="00440691"/>
    <w:rsid w:val="0044173E"/>
    <w:rsid w:val="004418D3"/>
    <w:rsid w:val="004423AA"/>
    <w:rsid w:val="00442BD8"/>
    <w:rsid w:val="004433FF"/>
    <w:rsid w:val="00443C7B"/>
    <w:rsid w:val="00443CA4"/>
    <w:rsid w:val="00443D5E"/>
    <w:rsid w:val="0044437F"/>
    <w:rsid w:val="00444642"/>
    <w:rsid w:val="00444A3D"/>
    <w:rsid w:val="00444E3D"/>
    <w:rsid w:val="004462FF"/>
    <w:rsid w:val="004467FA"/>
    <w:rsid w:val="004474C2"/>
    <w:rsid w:val="0045009F"/>
    <w:rsid w:val="00450D71"/>
    <w:rsid w:val="00450E26"/>
    <w:rsid w:val="004512DC"/>
    <w:rsid w:val="00451DB3"/>
    <w:rsid w:val="004520F1"/>
    <w:rsid w:val="0045284D"/>
    <w:rsid w:val="00453F5E"/>
    <w:rsid w:val="0045539C"/>
    <w:rsid w:val="00455854"/>
    <w:rsid w:val="00455B04"/>
    <w:rsid w:val="00455D43"/>
    <w:rsid w:val="00457740"/>
    <w:rsid w:val="00457772"/>
    <w:rsid w:val="004578C3"/>
    <w:rsid w:val="00457CCA"/>
    <w:rsid w:val="00457D0F"/>
    <w:rsid w:val="00457FC4"/>
    <w:rsid w:val="00460341"/>
    <w:rsid w:val="00460BD3"/>
    <w:rsid w:val="0046100A"/>
    <w:rsid w:val="0046131F"/>
    <w:rsid w:val="004614A8"/>
    <w:rsid w:val="00461C98"/>
    <w:rsid w:val="004623DE"/>
    <w:rsid w:val="00462BA6"/>
    <w:rsid w:val="004641A5"/>
    <w:rsid w:val="0046552B"/>
    <w:rsid w:val="004659CC"/>
    <w:rsid w:val="00465CC8"/>
    <w:rsid w:val="0046619A"/>
    <w:rsid w:val="0046626B"/>
    <w:rsid w:val="00466568"/>
    <w:rsid w:val="00466865"/>
    <w:rsid w:val="00467075"/>
    <w:rsid w:val="00467125"/>
    <w:rsid w:val="00467AB0"/>
    <w:rsid w:val="00467D60"/>
    <w:rsid w:val="00467E49"/>
    <w:rsid w:val="00467E96"/>
    <w:rsid w:val="00470314"/>
    <w:rsid w:val="0047056C"/>
    <w:rsid w:val="00470881"/>
    <w:rsid w:val="00471643"/>
    <w:rsid w:val="00471E4F"/>
    <w:rsid w:val="00472761"/>
    <w:rsid w:val="004727A6"/>
    <w:rsid w:val="00472A3F"/>
    <w:rsid w:val="00472B8A"/>
    <w:rsid w:val="004735AA"/>
    <w:rsid w:val="00473AE6"/>
    <w:rsid w:val="00473E64"/>
    <w:rsid w:val="00474376"/>
    <w:rsid w:val="00474471"/>
    <w:rsid w:val="004753FE"/>
    <w:rsid w:val="00475543"/>
    <w:rsid w:val="004756B4"/>
    <w:rsid w:val="00475CA2"/>
    <w:rsid w:val="00476127"/>
    <w:rsid w:val="0047629C"/>
    <w:rsid w:val="004765D4"/>
    <w:rsid w:val="00476D60"/>
    <w:rsid w:val="004772FC"/>
    <w:rsid w:val="00477502"/>
    <w:rsid w:val="00477BE4"/>
    <w:rsid w:val="00480A87"/>
    <w:rsid w:val="00480B28"/>
    <w:rsid w:val="00480E01"/>
    <w:rsid w:val="004813FE"/>
    <w:rsid w:val="004817F4"/>
    <w:rsid w:val="00481855"/>
    <w:rsid w:val="004819E3"/>
    <w:rsid w:val="00482C72"/>
    <w:rsid w:val="00482E7E"/>
    <w:rsid w:val="004831A9"/>
    <w:rsid w:val="00483B01"/>
    <w:rsid w:val="00483CF3"/>
    <w:rsid w:val="00483E98"/>
    <w:rsid w:val="00483F5A"/>
    <w:rsid w:val="004845DD"/>
    <w:rsid w:val="0048529C"/>
    <w:rsid w:val="0048558E"/>
    <w:rsid w:val="004859AC"/>
    <w:rsid w:val="00485C51"/>
    <w:rsid w:val="00486903"/>
    <w:rsid w:val="00487FD9"/>
    <w:rsid w:val="004908FA"/>
    <w:rsid w:val="00490DAE"/>
    <w:rsid w:val="00490DEB"/>
    <w:rsid w:val="00490DFE"/>
    <w:rsid w:val="00491613"/>
    <w:rsid w:val="00491C95"/>
    <w:rsid w:val="00491DFC"/>
    <w:rsid w:val="00491E0F"/>
    <w:rsid w:val="00492961"/>
    <w:rsid w:val="00494662"/>
    <w:rsid w:val="004946E8"/>
    <w:rsid w:val="0049476E"/>
    <w:rsid w:val="00494AD8"/>
    <w:rsid w:val="00494B79"/>
    <w:rsid w:val="00497251"/>
    <w:rsid w:val="004975DE"/>
    <w:rsid w:val="004A04E0"/>
    <w:rsid w:val="004A16F6"/>
    <w:rsid w:val="004A17DF"/>
    <w:rsid w:val="004A2022"/>
    <w:rsid w:val="004A31D7"/>
    <w:rsid w:val="004A35B5"/>
    <w:rsid w:val="004A3613"/>
    <w:rsid w:val="004A3C83"/>
    <w:rsid w:val="004A499F"/>
    <w:rsid w:val="004A4B46"/>
    <w:rsid w:val="004A5E4B"/>
    <w:rsid w:val="004A5ECB"/>
    <w:rsid w:val="004A6169"/>
    <w:rsid w:val="004A638E"/>
    <w:rsid w:val="004A6799"/>
    <w:rsid w:val="004A6D81"/>
    <w:rsid w:val="004A71E4"/>
    <w:rsid w:val="004A73BD"/>
    <w:rsid w:val="004A7FD8"/>
    <w:rsid w:val="004B039D"/>
    <w:rsid w:val="004B03CD"/>
    <w:rsid w:val="004B04BD"/>
    <w:rsid w:val="004B04C0"/>
    <w:rsid w:val="004B064B"/>
    <w:rsid w:val="004B1074"/>
    <w:rsid w:val="004B1352"/>
    <w:rsid w:val="004B17EE"/>
    <w:rsid w:val="004B1C58"/>
    <w:rsid w:val="004B2090"/>
    <w:rsid w:val="004B2164"/>
    <w:rsid w:val="004B2F3E"/>
    <w:rsid w:val="004B3020"/>
    <w:rsid w:val="004B31DC"/>
    <w:rsid w:val="004B3384"/>
    <w:rsid w:val="004B38AE"/>
    <w:rsid w:val="004B3EE0"/>
    <w:rsid w:val="004B476C"/>
    <w:rsid w:val="004B488C"/>
    <w:rsid w:val="004B49AC"/>
    <w:rsid w:val="004B4C12"/>
    <w:rsid w:val="004B4C77"/>
    <w:rsid w:val="004B4CB2"/>
    <w:rsid w:val="004B5A4F"/>
    <w:rsid w:val="004B5E93"/>
    <w:rsid w:val="004B6266"/>
    <w:rsid w:val="004B6499"/>
    <w:rsid w:val="004B743A"/>
    <w:rsid w:val="004B765A"/>
    <w:rsid w:val="004B782D"/>
    <w:rsid w:val="004B7C7B"/>
    <w:rsid w:val="004B7F81"/>
    <w:rsid w:val="004B7FAA"/>
    <w:rsid w:val="004C0426"/>
    <w:rsid w:val="004C0C6E"/>
    <w:rsid w:val="004C0DCF"/>
    <w:rsid w:val="004C183D"/>
    <w:rsid w:val="004C199D"/>
    <w:rsid w:val="004C47C9"/>
    <w:rsid w:val="004C5538"/>
    <w:rsid w:val="004C5B6D"/>
    <w:rsid w:val="004C6421"/>
    <w:rsid w:val="004C6578"/>
    <w:rsid w:val="004C696A"/>
    <w:rsid w:val="004C6DB0"/>
    <w:rsid w:val="004C7D83"/>
    <w:rsid w:val="004C7E79"/>
    <w:rsid w:val="004D0BD0"/>
    <w:rsid w:val="004D145F"/>
    <w:rsid w:val="004D1A45"/>
    <w:rsid w:val="004D251B"/>
    <w:rsid w:val="004D26BC"/>
    <w:rsid w:val="004D26BE"/>
    <w:rsid w:val="004D2FA7"/>
    <w:rsid w:val="004D36AF"/>
    <w:rsid w:val="004D3882"/>
    <w:rsid w:val="004D3DE7"/>
    <w:rsid w:val="004D40C7"/>
    <w:rsid w:val="004D49B5"/>
    <w:rsid w:val="004D538A"/>
    <w:rsid w:val="004D587C"/>
    <w:rsid w:val="004D653F"/>
    <w:rsid w:val="004D6FD0"/>
    <w:rsid w:val="004D712F"/>
    <w:rsid w:val="004D7200"/>
    <w:rsid w:val="004D7304"/>
    <w:rsid w:val="004E028C"/>
    <w:rsid w:val="004E028E"/>
    <w:rsid w:val="004E08DB"/>
    <w:rsid w:val="004E0D55"/>
    <w:rsid w:val="004E0E3C"/>
    <w:rsid w:val="004E138B"/>
    <w:rsid w:val="004E15AA"/>
    <w:rsid w:val="004E1608"/>
    <w:rsid w:val="004E1E27"/>
    <w:rsid w:val="004E211F"/>
    <w:rsid w:val="004E2264"/>
    <w:rsid w:val="004E28EA"/>
    <w:rsid w:val="004E2C85"/>
    <w:rsid w:val="004E2D0C"/>
    <w:rsid w:val="004E3383"/>
    <w:rsid w:val="004E3BC4"/>
    <w:rsid w:val="004E3BD1"/>
    <w:rsid w:val="004E3F0D"/>
    <w:rsid w:val="004E3FEC"/>
    <w:rsid w:val="004E44A9"/>
    <w:rsid w:val="004E44DF"/>
    <w:rsid w:val="004E478A"/>
    <w:rsid w:val="004E4C9E"/>
    <w:rsid w:val="004E54D5"/>
    <w:rsid w:val="004E5F1A"/>
    <w:rsid w:val="004E6058"/>
    <w:rsid w:val="004E6511"/>
    <w:rsid w:val="004E738A"/>
    <w:rsid w:val="004E75AD"/>
    <w:rsid w:val="004E7BE4"/>
    <w:rsid w:val="004F0937"/>
    <w:rsid w:val="004F1343"/>
    <w:rsid w:val="004F18F2"/>
    <w:rsid w:val="004F1936"/>
    <w:rsid w:val="004F2E64"/>
    <w:rsid w:val="004F2E7F"/>
    <w:rsid w:val="004F30BB"/>
    <w:rsid w:val="004F30DA"/>
    <w:rsid w:val="004F3422"/>
    <w:rsid w:val="004F3565"/>
    <w:rsid w:val="004F38F4"/>
    <w:rsid w:val="004F3F44"/>
    <w:rsid w:val="004F5708"/>
    <w:rsid w:val="004F5B23"/>
    <w:rsid w:val="004F681F"/>
    <w:rsid w:val="004F6FB4"/>
    <w:rsid w:val="004F7332"/>
    <w:rsid w:val="004F79BC"/>
    <w:rsid w:val="005004AD"/>
    <w:rsid w:val="00501F03"/>
    <w:rsid w:val="005027DD"/>
    <w:rsid w:val="005031E3"/>
    <w:rsid w:val="005033ED"/>
    <w:rsid w:val="0050348E"/>
    <w:rsid w:val="00503830"/>
    <w:rsid w:val="00503A01"/>
    <w:rsid w:val="0050401D"/>
    <w:rsid w:val="00505042"/>
    <w:rsid w:val="00505605"/>
    <w:rsid w:val="005057EF"/>
    <w:rsid w:val="00505925"/>
    <w:rsid w:val="00505AA3"/>
    <w:rsid w:val="005062FD"/>
    <w:rsid w:val="00506AB6"/>
    <w:rsid w:val="00506BE1"/>
    <w:rsid w:val="00507268"/>
    <w:rsid w:val="005076CA"/>
    <w:rsid w:val="005079FB"/>
    <w:rsid w:val="00507FB0"/>
    <w:rsid w:val="005100EA"/>
    <w:rsid w:val="0051020A"/>
    <w:rsid w:val="00510672"/>
    <w:rsid w:val="00511596"/>
    <w:rsid w:val="00511D33"/>
    <w:rsid w:val="00511FBD"/>
    <w:rsid w:val="00512241"/>
    <w:rsid w:val="00512533"/>
    <w:rsid w:val="005128F0"/>
    <w:rsid w:val="0051293F"/>
    <w:rsid w:val="005130F5"/>
    <w:rsid w:val="0051383B"/>
    <w:rsid w:val="0051496D"/>
    <w:rsid w:val="005152AC"/>
    <w:rsid w:val="00515970"/>
    <w:rsid w:val="00516DB7"/>
    <w:rsid w:val="00517338"/>
    <w:rsid w:val="00521300"/>
    <w:rsid w:val="00521930"/>
    <w:rsid w:val="00521B1C"/>
    <w:rsid w:val="00521FC8"/>
    <w:rsid w:val="0052230B"/>
    <w:rsid w:val="0052235F"/>
    <w:rsid w:val="005225F8"/>
    <w:rsid w:val="00522DCE"/>
    <w:rsid w:val="00523C90"/>
    <w:rsid w:val="005246A7"/>
    <w:rsid w:val="00525BEE"/>
    <w:rsid w:val="00525F4D"/>
    <w:rsid w:val="00526872"/>
    <w:rsid w:val="00526979"/>
    <w:rsid w:val="00526B96"/>
    <w:rsid w:val="0052770E"/>
    <w:rsid w:val="00527C37"/>
    <w:rsid w:val="005306F9"/>
    <w:rsid w:val="005309EA"/>
    <w:rsid w:val="00530A19"/>
    <w:rsid w:val="005317A6"/>
    <w:rsid w:val="005321CA"/>
    <w:rsid w:val="00533691"/>
    <w:rsid w:val="005337EE"/>
    <w:rsid w:val="005338D4"/>
    <w:rsid w:val="00533B6D"/>
    <w:rsid w:val="00533E76"/>
    <w:rsid w:val="005344D8"/>
    <w:rsid w:val="00534D34"/>
    <w:rsid w:val="00535043"/>
    <w:rsid w:val="005352EE"/>
    <w:rsid w:val="00535332"/>
    <w:rsid w:val="0053550E"/>
    <w:rsid w:val="0053551E"/>
    <w:rsid w:val="0053640B"/>
    <w:rsid w:val="0053793E"/>
    <w:rsid w:val="00540933"/>
    <w:rsid w:val="00540AAA"/>
    <w:rsid w:val="00540C56"/>
    <w:rsid w:val="00540E2E"/>
    <w:rsid w:val="0054190A"/>
    <w:rsid w:val="005422CF"/>
    <w:rsid w:val="0054250D"/>
    <w:rsid w:val="00542E5B"/>
    <w:rsid w:val="00543404"/>
    <w:rsid w:val="005435EC"/>
    <w:rsid w:val="00543BD2"/>
    <w:rsid w:val="00545050"/>
    <w:rsid w:val="0054643A"/>
    <w:rsid w:val="005469CA"/>
    <w:rsid w:val="00546EDF"/>
    <w:rsid w:val="005470A7"/>
    <w:rsid w:val="005476D2"/>
    <w:rsid w:val="00551510"/>
    <w:rsid w:val="00551701"/>
    <w:rsid w:val="005520D8"/>
    <w:rsid w:val="005521AE"/>
    <w:rsid w:val="0055328B"/>
    <w:rsid w:val="00553A2B"/>
    <w:rsid w:val="005553C2"/>
    <w:rsid w:val="00555C95"/>
    <w:rsid w:val="005562C6"/>
    <w:rsid w:val="005564A3"/>
    <w:rsid w:val="0055690E"/>
    <w:rsid w:val="00556B34"/>
    <w:rsid w:val="00557203"/>
    <w:rsid w:val="005603C7"/>
    <w:rsid w:val="00560481"/>
    <w:rsid w:val="005605C3"/>
    <w:rsid w:val="00560610"/>
    <w:rsid w:val="0056076E"/>
    <w:rsid w:val="00562C1B"/>
    <w:rsid w:val="00563011"/>
    <w:rsid w:val="005632EA"/>
    <w:rsid w:val="00563869"/>
    <w:rsid w:val="005638B2"/>
    <w:rsid w:val="005639A7"/>
    <w:rsid w:val="005639CA"/>
    <w:rsid w:val="00563F1B"/>
    <w:rsid w:val="00564146"/>
    <w:rsid w:val="005645CD"/>
    <w:rsid w:val="005648C5"/>
    <w:rsid w:val="005648E4"/>
    <w:rsid w:val="0056538C"/>
    <w:rsid w:val="00565E25"/>
    <w:rsid w:val="00566281"/>
    <w:rsid w:val="0056637A"/>
    <w:rsid w:val="00567297"/>
    <w:rsid w:val="00567343"/>
    <w:rsid w:val="0056749C"/>
    <w:rsid w:val="00567DA0"/>
    <w:rsid w:val="00570772"/>
    <w:rsid w:val="00570929"/>
    <w:rsid w:val="00570B15"/>
    <w:rsid w:val="00570C2D"/>
    <w:rsid w:val="00570CC6"/>
    <w:rsid w:val="00570FB8"/>
    <w:rsid w:val="00571B74"/>
    <w:rsid w:val="005720D4"/>
    <w:rsid w:val="00572722"/>
    <w:rsid w:val="005727D9"/>
    <w:rsid w:val="00572852"/>
    <w:rsid w:val="00573603"/>
    <w:rsid w:val="00573A8E"/>
    <w:rsid w:val="00573D71"/>
    <w:rsid w:val="005744C5"/>
    <w:rsid w:val="00574922"/>
    <w:rsid w:val="00575249"/>
    <w:rsid w:val="00575267"/>
    <w:rsid w:val="00575406"/>
    <w:rsid w:val="00576BC5"/>
    <w:rsid w:val="0057769D"/>
    <w:rsid w:val="00577726"/>
    <w:rsid w:val="005779C2"/>
    <w:rsid w:val="005800C5"/>
    <w:rsid w:val="00580746"/>
    <w:rsid w:val="00580823"/>
    <w:rsid w:val="00580B99"/>
    <w:rsid w:val="00580C51"/>
    <w:rsid w:val="00581A56"/>
    <w:rsid w:val="00582F09"/>
    <w:rsid w:val="00583588"/>
    <w:rsid w:val="005839D0"/>
    <w:rsid w:val="00583EA5"/>
    <w:rsid w:val="0058449E"/>
    <w:rsid w:val="00584AC6"/>
    <w:rsid w:val="0058529B"/>
    <w:rsid w:val="00585AFB"/>
    <w:rsid w:val="00585B8E"/>
    <w:rsid w:val="005873CC"/>
    <w:rsid w:val="005879BF"/>
    <w:rsid w:val="0059038E"/>
    <w:rsid w:val="005904D9"/>
    <w:rsid w:val="005908A3"/>
    <w:rsid w:val="005915F8"/>
    <w:rsid w:val="005916D8"/>
    <w:rsid w:val="00591A8C"/>
    <w:rsid w:val="00591A96"/>
    <w:rsid w:val="00591BAF"/>
    <w:rsid w:val="00591FB9"/>
    <w:rsid w:val="005920D1"/>
    <w:rsid w:val="005936AF"/>
    <w:rsid w:val="00593829"/>
    <w:rsid w:val="005946EE"/>
    <w:rsid w:val="00594AE3"/>
    <w:rsid w:val="0059527A"/>
    <w:rsid w:val="00595421"/>
    <w:rsid w:val="00595583"/>
    <w:rsid w:val="005959F3"/>
    <w:rsid w:val="00595BF0"/>
    <w:rsid w:val="005960D7"/>
    <w:rsid w:val="00596317"/>
    <w:rsid w:val="005965EF"/>
    <w:rsid w:val="00596673"/>
    <w:rsid w:val="005966EF"/>
    <w:rsid w:val="00597C30"/>
    <w:rsid w:val="005A03B5"/>
    <w:rsid w:val="005A0808"/>
    <w:rsid w:val="005A0889"/>
    <w:rsid w:val="005A11D5"/>
    <w:rsid w:val="005A15C2"/>
    <w:rsid w:val="005A184A"/>
    <w:rsid w:val="005A1EF2"/>
    <w:rsid w:val="005A23DC"/>
    <w:rsid w:val="005A2521"/>
    <w:rsid w:val="005A3DDE"/>
    <w:rsid w:val="005A4282"/>
    <w:rsid w:val="005A4D4A"/>
    <w:rsid w:val="005A5175"/>
    <w:rsid w:val="005A52E9"/>
    <w:rsid w:val="005A5ADB"/>
    <w:rsid w:val="005A6BBB"/>
    <w:rsid w:val="005A71BC"/>
    <w:rsid w:val="005A72C2"/>
    <w:rsid w:val="005B07D0"/>
    <w:rsid w:val="005B0D6F"/>
    <w:rsid w:val="005B1C09"/>
    <w:rsid w:val="005B2B71"/>
    <w:rsid w:val="005B31CE"/>
    <w:rsid w:val="005B376B"/>
    <w:rsid w:val="005B3903"/>
    <w:rsid w:val="005B3AD3"/>
    <w:rsid w:val="005B421F"/>
    <w:rsid w:val="005B4ABA"/>
    <w:rsid w:val="005B4C75"/>
    <w:rsid w:val="005B62E6"/>
    <w:rsid w:val="005B632B"/>
    <w:rsid w:val="005B63CC"/>
    <w:rsid w:val="005B7532"/>
    <w:rsid w:val="005B7579"/>
    <w:rsid w:val="005C1059"/>
    <w:rsid w:val="005C1145"/>
    <w:rsid w:val="005C1FA2"/>
    <w:rsid w:val="005C2B60"/>
    <w:rsid w:val="005C2FE4"/>
    <w:rsid w:val="005C396D"/>
    <w:rsid w:val="005C3C9B"/>
    <w:rsid w:val="005C4256"/>
    <w:rsid w:val="005C4C69"/>
    <w:rsid w:val="005C583B"/>
    <w:rsid w:val="005C5CDB"/>
    <w:rsid w:val="005C603F"/>
    <w:rsid w:val="005C697D"/>
    <w:rsid w:val="005C6CBA"/>
    <w:rsid w:val="005C73E6"/>
    <w:rsid w:val="005C74C7"/>
    <w:rsid w:val="005D0ED7"/>
    <w:rsid w:val="005D14F1"/>
    <w:rsid w:val="005D1537"/>
    <w:rsid w:val="005D17BB"/>
    <w:rsid w:val="005D1803"/>
    <w:rsid w:val="005D1B0F"/>
    <w:rsid w:val="005D1EA8"/>
    <w:rsid w:val="005D239D"/>
    <w:rsid w:val="005D264D"/>
    <w:rsid w:val="005D31E7"/>
    <w:rsid w:val="005D39B8"/>
    <w:rsid w:val="005D426E"/>
    <w:rsid w:val="005D43A4"/>
    <w:rsid w:val="005D43D5"/>
    <w:rsid w:val="005D4954"/>
    <w:rsid w:val="005D50CC"/>
    <w:rsid w:val="005D5163"/>
    <w:rsid w:val="005D54AC"/>
    <w:rsid w:val="005D54FA"/>
    <w:rsid w:val="005D5546"/>
    <w:rsid w:val="005D56BD"/>
    <w:rsid w:val="005D5B5A"/>
    <w:rsid w:val="005D6B7E"/>
    <w:rsid w:val="005D6F81"/>
    <w:rsid w:val="005E00C4"/>
    <w:rsid w:val="005E04AB"/>
    <w:rsid w:val="005E06CC"/>
    <w:rsid w:val="005E0A0B"/>
    <w:rsid w:val="005E121D"/>
    <w:rsid w:val="005E2353"/>
    <w:rsid w:val="005E268B"/>
    <w:rsid w:val="005E2906"/>
    <w:rsid w:val="005E2B72"/>
    <w:rsid w:val="005E2DE2"/>
    <w:rsid w:val="005E32A4"/>
    <w:rsid w:val="005E3F70"/>
    <w:rsid w:val="005E42A7"/>
    <w:rsid w:val="005E4559"/>
    <w:rsid w:val="005E4D3B"/>
    <w:rsid w:val="005E4FB8"/>
    <w:rsid w:val="005E5DA0"/>
    <w:rsid w:val="005E5E79"/>
    <w:rsid w:val="005E644E"/>
    <w:rsid w:val="005E653B"/>
    <w:rsid w:val="005E69F3"/>
    <w:rsid w:val="005E764C"/>
    <w:rsid w:val="005E77AE"/>
    <w:rsid w:val="005F0163"/>
    <w:rsid w:val="005F0613"/>
    <w:rsid w:val="005F0E63"/>
    <w:rsid w:val="005F1331"/>
    <w:rsid w:val="005F19BD"/>
    <w:rsid w:val="005F1E83"/>
    <w:rsid w:val="005F22FC"/>
    <w:rsid w:val="005F2875"/>
    <w:rsid w:val="005F3295"/>
    <w:rsid w:val="005F3902"/>
    <w:rsid w:val="005F3EB4"/>
    <w:rsid w:val="005F4597"/>
    <w:rsid w:val="005F5105"/>
    <w:rsid w:val="005F515D"/>
    <w:rsid w:val="005F52D2"/>
    <w:rsid w:val="005F61E4"/>
    <w:rsid w:val="005F6A0D"/>
    <w:rsid w:val="005F7025"/>
    <w:rsid w:val="005F7724"/>
    <w:rsid w:val="005F7962"/>
    <w:rsid w:val="0060006F"/>
    <w:rsid w:val="00600292"/>
    <w:rsid w:val="006002C1"/>
    <w:rsid w:val="006007CF"/>
    <w:rsid w:val="006021A6"/>
    <w:rsid w:val="00602C19"/>
    <w:rsid w:val="00602D20"/>
    <w:rsid w:val="0060360D"/>
    <w:rsid w:val="00603760"/>
    <w:rsid w:val="00603B4A"/>
    <w:rsid w:val="00603BE4"/>
    <w:rsid w:val="00603F28"/>
    <w:rsid w:val="006049CB"/>
    <w:rsid w:val="00604C03"/>
    <w:rsid w:val="006050EE"/>
    <w:rsid w:val="00605928"/>
    <w:rsid w:val="0061035C"/>
    <w:rsid w:val="00610CB7"/>
    <w:rsid w:val="0061139D"/>
    <w:rsid w:val="0061142C"/>
    <w:rsid w:val="0061169A"/>
    <w:rsid w:val="006117FD"/>
    <w:rsid w:val="006119D7"/>
    <w:rsid w:val="00611A8D"/>
    <w:rsid w:val="006126DA"/>
    <w:rsid w:val="00612E2B"/>
    <w:rsid w:val="00613D8C"/>
    <w:rsid w:val="006140D7"/>
    <w:rsid w:val="0061418E"/>
    <w:rsid w:val="0061421B"/>
    <w:rsid w:val="0061549B"/>
    <w:rsid w:val="00615EFA"/>
    <w:rsid w:val="00616140"/>
    <w:rsid w:val="006164D1"/>
    <w:rsid w:val="006168BD"/>
    <w:rsid w:val="00616D3B"/>
    <w:rsid w:val="00616E17"/>
    <w:rsid w:val="00617057"/>
    <w:rsid w:val="00617304"/>
    <w:rsid w:val="00617818"/>
    <w:rsid w:val="00620265"/>
    <w:rsid w:val="00621C3E"/>
    <w:rsid w:val="00621CF0"/>
    <w:rsid w:val="00622C3C"/>
    <w:rsid w:val="00622D5A"/>
    <w:rsid w:val="00623203"/>
    <w:rsid w:val="00623AE9"/>
    <w:rsid w:val="006262CB"/>
    <w:rsid w:val="00626A89"/>
    <w:rsid w:val="0062728C"/>
    <w:rsid w:val="006278AC"/>
    <w:rsid w:val="00627D04"/>
    <w:rsid w:val="00627D21"/>
    <w:rsid w:val="0063036F"/>
    <w:rsid w:val="00630419"/>
    <w:rsid w:val="0063060A"/>
    <w:rsid w:val="00630BE7"/>
    <w:rsid w:val="00630F6F"/>
    <w:rsid w:val="00630F96"/>
    <w:rsid w:val="00631FEA"/>
    <w:rsid w:val="0063206B"/>
    <w:rsid w:val="00632193"/>
    <w:rsid w:val="00632338"/>
    <w:rsid w:val="006323C9"/>
    <w:rsid w:val="0063258C"/>
    <w:rsid w:val="00632744"/>
    <w:rsid w:val="006335B1"/>
    <w:rsid w:val="00633C9F"/>
    <w:rsid w:val="0063405F"/>
    <w:rsid w:val="0063463D"/>
    <w:rsid w:val="006350BC"/>
    <w:rsid w:val="006350CD"/>
    <w:rsid w:val="00635487"/>
    <w:rsid w:val="006357BD"/>
    <w:rsid w:val="00635A6F"/>
    <w:rsid w:val="00636A39"/>
    <w:rsid w:val="00636DED"/>
    <w:rsid w:val="006376B5"/>
    <w:rsid w:val="00637A58"/>
    <w:rsid w:val="00637B61"/>
    <w:rsid w:val="00640034"/>
    <w:rsid w:val="006403DB"/>
    <w:rsid w:val="00640B6E"/>
    <w:rsid w:val="00640E9E"/>
    <w:rsid w:val="00641395"/>
    <w:rsid w:val="00641521"/>
    <w:rsid w:val="0064190B"/>
    <w:rsid w:val="00641E29"/>
    <w:rsid w:val="00641F7B"/>
    <w:rsid w:val="0064224E"/>
    <w:rsid w:val="00642C64"/>
    <w:rsid w:val="00643776"/>
    <w:rsid w:val="00643DD4"/>
    <w:rsid w:val="00644541"/>
    <w:rsid w:val="00644A9B"/>
    <w:rsid w:val="00644D0A"/>
    <w:rsid w:val="0064544D"/>
    <w:rsid w:val="00645A56"/>
    <w:rsid w:val="00645B92"/>
    <w:rsid w:val="00645D66"/>
    <w:rsid w:val="006468FE"/>
    <w:rsid w:val="0064729B"/>
    <w:rsid w:val="00647987"/>
    <w:rsid w:val="00647BBF"/>
    <w:rsid w:val="0065056A"/>
    <w:rsid w:val="00650B35"/>
    <w:rsid w:val="0065204B"/>
    <w:rsid w:val="00652547"/>
    <w:rsid w:val="006528A7"/>
    <w:rsid w:val="00652DBD"/>
    <w:rsid w:val="00653F63"/>
    <w:rsid w:val="00654235"/>
    <w:rsid w:val="006549C8"/>
    <w:rsid w:val="00654C92"/>
    <w:rsid w:val="006555D7"/>
    <w:rsid w:val="0065581B"/>
    <w:rsid w:val="00655C7B"/>
    <w:rsid w:val="00656B97"/>
    <w:rsid w:val="00656D1A"/>
    <w:rsid w:val="00657B3F"/>
    <w:rsid w:val="006600FD"/>
    <w:rsid w:val="00660294"/>
    <w:rsid w:val="0066055E"/>
    <w:rsid w:val="0066112E"/>
    <w:rsid w:val="0066248D"/>
    <w:rsid w:val="00663C9F"/>
    <w:rsid w:val="00663FD7"/>
    <w:rsid w:val="00664B45"/>
    <w:rsid w:val="0066516E"/>
    <w:rsid w:val="0066553F"/>
    <w:rsid w:val="00665B6E"/>
    <w:rsid w:val="006665B6"/>
    <w:rsid w:val="0066686D"/>
    <w:rsid w:val="006674CA"/>
    <w:rsid w:val="00670F20"/>
    <w:rsid w:val="006710E1"/>
    <w:rsid w:val="0067145E"/>
    <w:rsid w:val="00672195"/>
    <w:rsid w:val="0067281F"/>
    <w:rsid w:val="00672B0D"/>
    <w:rsid w:val="00672F5B"/>
    <w:rsid w:val="006730C1"/>
    <w:rsid w:val="00673432"/>
    <w:rsid w:val="00673760"/>
    <w:rsid w:val="00673F45"/>
    <w:rsid w:val="00674BB6"/>
    <w:rsid w:val="00674D3B"/>
    <w:rsid w:val="00675CA2"/>
    <w:rsid w:val="00676597"/>
    <w:rsid w:val="00676EF2"/>
    <w:rsid w:val="006775C3"/>
    <w:rsid w:val="00677622"/>
    <w:rsid w:val="00677E80"/>
    <w:rsid w:val="00677F15"/>
    <w:rsid w:val="00680103"/>
    <w:rsid w:val="006802A9"/>
    <w:rsid w:val="006803DE"/>
    <w:rsid w:val="0068046C"/>
    <w:rsid w:val="006808E7"/>
    <w:rsid w:val="006808FA"/>
    <w:rsid w:val="00680E19"/>
    <w:rsid w:val="00680F9D"/>
    <w:rsid w:val="00681AE7"/>
    <w:rsid w:val="00681FBF"/>
    <w:rsid w:val="0068215D"/>
    <w:rsid w:val="00682C98"/>
    <w:rsid w:val="00682F2E"/>
    <w:rsid w:val="00682F5E"/>
    <w:rsid w:val="00683946"/>
    <w:rsid w:val="00683D33"/>
    <w:rsid w:val="00683F6E"/>
    <w:rsid w:val="006842F9"/>
    <w:rsid w:val="0068451E"/>
    <w:rsid w:val="00684BB2"/>
    <w:rsid w:val="006855E7"/>
    <w:rsid w:val="00685830"/>
    <w:rsid w:val="00685C5E"/>
    <w:rsid w:val="00686325"/>
    <w:rsid w:val="00686555"/>
    <w:rsid w:val="00686718"/>
    <w:rsid w:val="00686EA9"/>
    <w:rsid w:val="006875AA"/>
    <w:rsid w:val="00690104"/>
    <w:rsid w:val="0069032B"/>
    <w:rsid w:val="006903CB"/>
    <w:rsid w:val="00690612"/>
    <w:rsid w:val="0069069B"/>
    <w:rsid w:val="006907D8"/>
    <w:rsid w:val="00690917"/>
    <w:rsid w:val="00690E2A"/>
    <w:rsid w:val="0069115C"/>
    <w:rsid w:val="00691753"/>
    <w:rsid w:val="0069218D"/>
    <w:rsid w:val="00693A24"/>
    <w:rsid w:val="00694393"/>
    <w:rsid w:val="0069549A"/>
    <w:rsid w:val="006957B6"/>
    <w:rsid w:val="006961E3"/>
    <w:rsid w:val="006962D3"/>
    <w:rsid w:val="00696DA7"/>
    <w:rsid w:val="00696FA3"/>
    <w:rsid w:val="006971DC"/>
    <w:rsid w:val="0069754C"/>
    <w:rsid w:val="0069776F"/>
    <w:rsid w:val="00697CC3"/>
    <w:rsid w:val="006A1157"/>
    <w:rsid w:val="006A1539"/>
    <w:rsid w:val="006A32F4"/>
    <w:rsid w:val="006A3AD2"/>
    <w:rsid w:val="006A3D23"/>
    <w:rsid w:val="006A4092"/>
    <w:rsid w:val="006A4730"/>
    <w:rsid w:val="006A4AE0"/>
    <w:rsid w:val="006A51D5"/>
    <w:rsid w:val="006A561C"/>
    <w:rsid w:val="006A56C4"/>
    <w:rsid w:val="006A56D6"/>
    <w:rsid w:val="006A5CAD"/>
    <w:rsid w:val="006A5F86"/>
    <w:rsid w:val="006A6062"/>
    <w:rsid w:val="006A6138"/>
    <w:rsid w:val="006A669D"/>
    <w:rsid w:val="006A6B06"/>
    <w:rsid w:val="006A7397"/>
    <w:rsid w:val="006A7AB9"/>
    <w:rsid w:val="006A7CA0"/>
    <w:rsid w:val="006B029A"/>
    <w:rsid w:val="006B067E"/>
    <w:rsid w:val="006B0D0F"/>
    <w:rsid w:val="006B0E17"/>
    <w:rsid w:val="006B0EA4"/>
    <w:rsid w:val="006B0FF4"/>
    <w:rsid w:val="006B108E"/>
    <w:rsid w:val="006B1213"/>
    <w:rsid w:val="006B14F1"/>
    <w:rsid w:val="006B1A1C"/>
    <w:rsid w:val="006B1CBF"/>
    <w:rsid w:val="006B1E87"/>
    <w:rsid w:val="006B208B"/>
    <w:rsid w:val="006B2187"/>
    <w:rsid w:val="006B2D0C"/>
    <w:rsid w:val="006B2E3F"/>
    <w:rsid w:val="006B2E55"/>
    <w:rsid w:val="006B33EC"/>
    <w:rsid w:val="006B3B9F"/>
    <w:rsid w:val="006B3DC7"/>
    <w:rsid w:val="006B3ED9"/>
    <w:rsid w:val="006B4B03"/>
    <w:rsid w:val="006B58D4"/>
    <w:rsid w:val="006B5CBC"/>
    <w:rsid w:val="006B6076"/>
    <w:rsid w:val="006B6690"/>
    <w:rsid w:val="006B68B6"/>
    <w:rsid w:val="006B6937"/>
    <w:rsid w:val="006B6C97"/>
    <w:rsid w:val="006B7042"/>
    <w:rsid w:val="006B726E"/>
    <w:rsid w:val="006B7C8D"/>
    <w:rsid w:val="006B7F6A"/>
    <w:rsid w:val="006C133B"/>
    <w:rsid w:val="006C146B"/>
    <w:rsid w:val="006C16C5"/>
    <w:rsid w:val="006C22BD"/>
    <w:rsid w:val="006C2666"/>
    <w:rsid w:val="006C306D"/>
    <w:rsid w:val="006C36F9"/>
    <w:rsid w:val="006C3C2C"/>
    <w:rsid w:val="006C44E2"/>
    <w:rsid w:val="006C4521"/>
    <w:rsid w:val="006C49A2"/>
    <w:rsid w:val="006C565A"/>
    <w:rsid w:val="006C5982"/>
    <w:rsid w:val="006C6947"/>
    <w:rsid w:val="006C6DCE"/>
    <w:rsid w:val="006C6E91"/>
    <w:rsid w:val="006D1813"/>
    <w:rsid w:val="006D1D12"/>
    <w:rsid w:val="006D1D51"/>
    <w:rsid w:val="006D2867"/>
    <w:rsid w:val="006D304B"/>
    <w:rsid w:val="006D35A9"/>
    <w:rsid w:val="006D37D7"/>
    <w:rsid w:val="006D3A92"/>
    <w:rsid w:val="006D411C"/>
    <w:rsid w:val="006D412D"/>
    <w:rsid w:val="006D49F4"/>
    <w:rsid w:val="006D4CCD"/>
    <w:rsid w:val="006D54B4"/>
    <w:rsid w:val="006D5936"/>
    <w:rsid w:val="006D59F4"/>
    <w:rsid w:val="006D5FE4"/>
    <w:rsid w:val="006D6A82"/>
    <w:rsid w:val="006D6D60"/>
    <w:rsid w:val="006D7861"/>
    <w:rsid w:val="006E0789"/>
    <w:rsid w:val="006E11FC"/>
    <w:rsid w:val="006E1331"/>
    <w:rsid w:val="006E213A"/>
    <w:rsid w:val="006E2713"/>
    <w:rsid w:val="006E2A7E"/>
    <w:rsid w:val="006E2F17"/>
    <w:rsid w:val="006E31D4"/>
    <w:rsid w:val="006E3FE6"/>
    <w:rsid w:val="006E4044"/>
    <w:rsid w:val="006E44FC"/>
    <w:rsid w:val="006E4884"/>
    <w:rsid w:val="006E4AFC"/>
    <w:rsid w:val="006E4DE5"/>
    <w:rsid w:val="006E5320"/>
    <w:rsid w:val="006E579B"/>
    <w:rsid w:val="006E5A1E"/>
    <w:rsid w:val="006E66FD"/>
    <w:rsid w:val="006E6CAB"/>
    <w:rsid w:val="006E730E"/>
    <w:rsid w:val="006E7D5C"/>
    <w:rsid w:val="006F0108"/>
    <w:rsid w:val="006F025A"/>
    <w:rsid w:val="006F0AE0"/>
    <w:rsid w:val="006F1577"/>
    <w:rsid w:val="006F18FF"/>
    <w:rsid w:val="006F2566"/>
    <w:rsid w:val="006F2E02"/>
    <w:rsid w:val="006F30E0"/>
    <w:rsid w:val="006F36EE"/>
    <w:rsid w:val="006F48D1"/>
    <w:rsid w:val="006F4DE9"/>
    <w:rsid w:val="006F55A4"/>
    <w:rsid w:val="006F59C7"/>
    <w:rsid w:val="006F5A7E"/>
    <w:rsid w:val="006F68ED"/>
    <w:rsid w:val="006F75D9"/>
    <w:rsid w:val="006F771B"/>
    <w:rsid w:val="006F7F90"/>
    <w:rsid w:val="007009D5"/>
    <w:rsid w:val="00700DBB"/>
    <w:rsid w:val="007025FB"/>
    <w:rsid w:val="00702671"/>
    <w:rsid w:val="007027D4"/>
    <w:rsid w:val="00702DEF"/>
    <w:rsid w:val="00703560"/>
    <w:rsid w:val="007035D0"/>
    <w:rsid w:val="00703A9C"/>
    <w:rsid w:val="00703C5A"/>
    <w:rsid w:val="00704BDD"/>
    <w:rsid w:val="00705458"/>
    <w:rsid w:val="0070588A"/>
    <w:rsid w:val="00705CF7"/>
    <w:rsid w:val="00705D5A"/>
    <w:rsid w:val="00705F5C"/>
    <w:rsid w:val="007062F5"/>
    <w:rsid w:val="0070698C"/>
    <w:rsid w:val="00706C4E"/>
    <w:rsid w:val="00706FEA"/>
    <w:rsid w:val="00707AEC"/>
    <w:rsid w:val="00707CD9"/>
    <w:rsid w:val="007100CD"/>
    <w:rsid w:val="007103CB"/>
    <w:rsid w:val="007106E7"/>
    <w:rsid w:val="00710FE5"/>
    <w:rsid w:val="0071119D"/>
    <w:rsid w:val="0071119E"/>
    <w:rsid w:val="0071120E"/>
    <w:rsid w:val="00711503"/>
    <w:rsid w:val="007115A2"/>
    <w:rsid w:val="00712024"/>
    <w:rsid w:val="00713052"/>
    <w:rsid w:val="007132E0"/>
    <w:rsid w:val="00713477"/>
    <w:rsid w:val="00713589"/>
    <w:rsid w:val="00714068"/>
    <w:rsid w:val="007158B7"/>
    <w:rsid w:val="00715A81"/>
    <w:rsid w:val="00715C3F"/>
    <w:rsid w:val="00716348"/>
    <w:rsid w:val="007168A3"/>
    <w:rsid w:val="00716951"/>
    <w:rsid w:val="00716D97"/>
    <w:rsid w:val="00717528"/>
    <w:rsid w:val="0071779A"/>
    <w:rsid w:val="007177FA"/>
    <w:rsid w:val="0072024B"/>
    <w:rsid w:val="00720294"/>
    <w:rsid w:val="00720B70"/>
    <w:rsid w:val="007219AA"/>
    <w:rsid w:val="0072236F"/>
    <w:rsid w:val="0072296A"/>
    <w:rsid w:val="007229DD"/>
    <w:rsid w:val="00723463"/>
    <w:rsid w:val="0072384B"/>
    <w:rsid w:val="00723C21"/>
    <w:rsid w:val="00724412"/>
    <w:rsid w:val="00724799"/>
    <w:rsid w:val="00725227"/>
    <w:rsid w:val="007254B6"/>
    <w:rsid w:val="0072660F"/>
    <w:rsid w:val="00726C41"/>
    <w:rsid w:val="00726EA7"/>
    <w:rsid w:val="00730223"/>
    <w:rsid w:val="00730723"/>
    <w:rsid w:val="00732047"/>
    <w:rsid w:val="007322A3"/>
    <w:rsid w:val="007322FF"/>
    <w:rsid w:val="007324BB"/>
    <w:rsid w:val="007328FB"/>
    <w:rsid w:val="00732F8C"/>
    <w:rsid w:val="00733417"/>
    <w:rsid w:val="00733BDB"/>
    <w:rsid w:val="00733D93"/>
    <w:rsid w:val="00734774"/>
    <w:rsid w:val="00734836"/>
    <w:rsid w:val="00734C3D"/>
    <w:rsid w:val="00735208"/>
    <w:rsid w:val="00735DC9"/>
    <w:rsid w:val="00736DDE"/>
    <w:rsid w:val="007372C2"/>
    <w:rsid w:val="007377FF"/>
    <w:rsid w:val="00737E93"/>
    <w:rsid w:val="00737F61"/>
    <w:rsid w:val="00740A0B"/>
    <w:rsid w:val="00740CE4"/>
    <w:rsid w:val="007410F9"/>
    <w:rsid w:val="00741CF6"/>
    <w:rsid w:val="00742932"/>
    <w:rsid w:val="00742D68"/>
    <w:rsid w:val="007431E0"/>
    <w:rsid w:val="00744A02"/>
    <w:rsid w:val="00744E68"/>
    <w:rsid w:val="00744FC6"/>
    <w:rsid w:val="007454FE"/>
    <w:rsid w:val="0074574A"/>
    <w:rsid w:val="0074596F"/>
    <w:rsid w:val="00745B4C"/>
    <w:rsid w:val="00746234"/>
    <w:rsid w:val="00746C27"/>
    <w:rsid w:val="00746D68"/>
    <w:rsid w:val="00747AA5"/>
    <w:rsid w:val="00747B2E"/>
    <w:rsid w:val="00747E16"/>
    <w:rsid w:val="00750255"/>
    <w:rsid w:val="007509AA"/>
    <w:rsid w:val="00750E86"/>
    <w:rsid w:val="007518E4"/>
    <w:rsid w:val="00751E2E"/>
    <w:rsid w:val="007523A7"/>
    <w:rsid w:val="0075246F"/>
    <w:rsid w:val="00752782"/>
    <w:rsid w:val="00752D83"/>
    <w:rsid w:val="00753675"/>
    <w:rsid w:val="0075372E"/>
    <w:rsid w:val="00753E1C"/>
    <w:rsid w:val="007548B7"/>
    <w:rsid w:val="007551F2"/>
    <w:rsid w:val="0075529F"/>
    <w:rsid w:val="00755AAF"/>
    <w:rsid w:val="0075610F"/>
    <w:rsid w:val="0075688E"/>
    <w:rsid w:val="00757A6B"/>
    <w:rsid w:val="00757BB3"/>
    <w:rsid w:val="00757BCD"/>
    <w:rsid w:val="0076014D"/>
    <w:rsid w:val="00760836"/>
    <w:rsid w:val="00760B92"/>
    <w:rsid w:val="00760C1B"/>
    <w:rsid w:val="00761109"/>
    <w:rsid w:val="00761110"/>
    <w:rsid w:val="00761864"/>
    <w:rsid w:val="00761F64"/>
    <w:rsid w:val="0076251D"/>
    <w:rsid w:val="00762663"/>
    <w:rsid w:val="007627D0"/>
    <w:rsid w:val="00762D33"/>
    <w:rsid w:val="00762E1C"/>
    <w:rsid w:val="007630E5"/>
    <w:rsid w:val="00763540"/>
    <w:rsid w:val="007637D3"/>
    <w:rsid w:val="00765688"/>
    <w:rsid w:val="00767876"/>
    <w:rsid w:val="007705CA"/>
    <w:rsid w:val="00770F3F"/>
    <w:rsid w:val="007719DC"/>
    <w:rsid w:val="00771ADE"/>
    <w:rsid w:val="00771B88"/>
    <w:rsid w:val="00772358"/>
    <w:rsid w:val="00772567"/>
    <w:rsid w:val="00772C80"/>
    <w:rsid w:val="00772E00"/>
    <w:rsid w:val="0077425D"/>
    <w:rsid w:val="00774A25"/>
    <w:rsid w:val="00775444"/>
    <w:rsid w:val="00775541"/>
    <w:rsid w:val="00775BCF"/>
    <w:rsid w:val="00776D9A"/>
    <w:rsid w:val="00776DF1"/>
    <w:rsid w:val="00776F9D"/>
    <w:rsid w:val="0077728C"/>
    <w:rsid w:val="0077737A"/>
    <w:rsid w:val="00777BF3"/>
    <w:rsid w:val="00777FC8"/>
    <w:rsid w:val="007801DC"/>
    <w:rsid w:val="00780CFF"/>
    <w:rsid w:val="007821F1"/>
    <w:rsid w:val="00782559"/>
    <w:rsid w:val="00782C76"/>
    <w:rsid w:val="00782F46"/>
    <w:rsid w:val="007838FF"/>
    <w:rsid w:val="00783970"/>
    <w:rsid w:val="00783ABC"/>
    <w:rsid w:val="00783BFF"/>
    <w:rsid w:val="00784D67"/>
    <w:rsid w:val="00785197"/>
    <w:rsid w:val="007857E2"/>
    <w:rsid w:val="00785BC6"/>
    <w:rsid w:val="0078643A"/>
    <w:rsid w:val="00786CDF"/>
    <w:rsid w:val="00787038"/>
    <w:rsid w:val="00787961"/>
    <w:rsid w:val="007879DA"/>
    <w:rsid w:val="00787CC0"/>
    <w:rsid w:val="00787DBB"/>
    <w:rsid w:val="00787EB9"/>
    <w:rsid w:val="007909FF"/>
    <w:rsid w:val="007911AD"/>
    <w:rsid w:val="00791802"/>
    <w:rsid w:val="00791CD0"/>
    <w:rsid w:val="0079218A"/>
    <w:rsid w:val="00792C1A"/>
    <w:rsid w:val="00792CD0"/>
    <w:rsid w:val="00793189"/>
    <w:rsid w:val="007936E8"/>
    <w:rsid w:val="007938E3"/>
    <w:rsid w:val="00793DC8"/>
    <w:rsid w:val="00794454"/>
    <w:rsid w:val="007948E5"/>
    <w:rsid w:val="00794A22"/>
    <w:rsid w:val="00794A7B"/>
    <w:rsid w:val="00795FF8"/>
    <w:rsid w:val="00796BD6"/>
    <w:rsid w:val="00796EC1"/>
    <w:rsid w:val="0079734A"/>
    <w:rsid w:val="007975E1"/>
    <w:rsid w:val="00797BCC"/>
    <w:rsid w:val="00797BDD"/>
    <w:rsid w:val="007A0847"/>
    <w:rsid w:val="007A08F3"/>
    <w:rsid w:val="007A19B4"/>
    <w:rsid w:val="007A1DAC"/>
    <w:rsid w:val="007A249D"/>
    <w:rsid w:val="007A2BEC"/>
    <w:rsid w:val="007A357B"/>
    <w:rsid w:val="007A37E8"/>
    <w:rsid w:val="007A40F1"/>
    <w:rsid w:val="007A44B8"/>
    <w:rsid w:val="007A452D"/>
    <w:rsid w:val="007A482A"/>
    <w:rsid w:val="007A5768"/>
    <w:rsid w:val="007A5C1C"/>
    <w:rsid w:val="007A64E7"/>
    <w:rsid w:val="007A654A"/>
    <w:rsid w:val="007A671C"/>
    <w:rsid w:val="007A6BA5"/>
    <w:rsid w:val="007A72FB"/>
    <w:rsid w:val="007A772D"/>
    <w:rsid w:val="007A7DBA"/>
    <w:rsid w:val="007B0683"/>
    <w:rsid w:val="007B0796"/>
    <w:rsid w:val="007B17A3"/>
    <w:rsid w:val="007B2033"/>
    <w:rsid w:val="007B218B"/>
    <w:rsid w:val="007B23AF"/>
    <w:rsid w:val="007B2C68"/>
    <w:rsid w:val="007B2F5E"/>
    <w:rsid w:val="007B32BD"/>
    <w:rsid w:val="007B33D9"/>
    <w:rsid w:val="007B3636"/>
    <w:rsid w:val="007B37B5"/>
    <w:rsid w:val="007B409A"/>
    <w:rsid w:val="007B456B"/>
    <w:rsid w:val="007B4D5C"/>
    <w:rsid w:val="007B4DB6"/>
    <w:rsid w:val="007B4EAE"/>
    <w:rsid w:val="007B5274"/>
    <w:rsid w:val="007B53EF"/>
    <w:rsid w:val="007B548F"/>
    <w:rsid w:val="007B5785"/>
    <w:rsid w:val="007B5BC7"/>
    <w:rsid w:val="007B5E59"/>
    <w:rsid w:val="007B5E79"/>
    <w:rsid w:val="007B6BEF"/>
    <w:rsid w:val="007B73E6"/>
    <w:rsid w:val="007B79A4"/>
    <w:rsid w:val="007C02AB"/>
    <w:rsid w:val="007C0461"/>
    <w:rsid w:val="007C07C8"/>
    <w:rsid w:val="007C0A82"/>
    <w:rsid w:val="007C113D"/>
    <w:rsid w:val="007C1292"/>
    <w:rsid w:val="007C1A2E"/>
    <w:rsid w:val="007C2672"/>
    <w:rsid w:val="007C3B5C"/>
    <w:rsid w:val="007C4EC5"/>
    <w:rsid w:val="007C5BAF"/>
    <w:rsid w:val="007C6A8B"/>
    <w:rsid w:val="007C711F"/>
    <w:rsid w:val="007C7172"/>
    <w:rsid w:val="007C766F"/>
    <w:rsid w:val="007D092B"/>
    <w:rsid w:val="007D0999"/>
    <w:rsid w:val="007D0A9D"/>
    <w:rsid w:val="007D0B5A"/>
    <w:rsid w:val="007D0EEA"/>
    <w:rsid w:val="007D1152"/>
    <w:rsid w:val="007D1597"/>
    <w:rsid w:val="007D177C"/>
    <w:rsid w:val="007D17DD"/>
    <w:rsid w:val="007D1DB8"/>
    <w:rsid w:val="007D248F"/>
    <w:rsid w:val="007D2DE3"/>
    <w:rsid w:val="007D307B"/>
    <w:rsid w:val="007D3423"/>
    <w:rsid w:val="007D3D13"/>
    <w:rsid w:val="007D3D97"/>
    <w:rsid w:val="007D3E9A"/>
    <w:rsid w:val="007D6371"/>
    <w:rsid w:val="007D63C8"/>
    <w:rsid w:val="007D71C3"/>
    <w:rsid w:val="007D72FB"/>
    <w:rsid w:val="007D76BF"/>
    <w:rsid w:val="007D7E8A"/>
    <w:rsid w:val="007E2363"/>
    <w:rsid w:val="007E2889"/>
    <w:rsid w:val="007E2A4B"/>
    <w:rsid w:val="007E3701"/>
    <w:rsid w:val="007E37AD"/>
    <w:rsid w:val="007E3C7C"/>
    <w:rsid w:val="007E4A51"/>
    <w:rsid w:val="007E5173"/>
    <w:rsid w:val="007E5191"/>
    <w:rsid w:val="007E52C2"/>
    <w:rsid w:val="007E6057"/>
    <w:rsid w:val="007E69CB"/>
    <w:rsid w:val="007E6D0B"/>
    <w:rsid w:val="007E7075"/>
    <w:rsid w:val="007E7696"/>
    <w:rsid w:val="007E7CBF"/>
    <w:rsid w:val="007F049E"/>
    <w:rsid w:val="007F060E"/>
    <w:rsid w:val="007F0697"/>
    <w:rsid w:val="007F1730"/>
    <w:rsid w:val="007F2F6B"/>
    <w:rsid w:val="007F2F77"/>
    <w:rsid w:val="007F354F"/>
    <w:rsid w:val="007F428F"/>
    <w:rsid w:val="007F4E41"/>
    <w:rsid w:val="007F5417"/>
    <w:rsid w:val="007F5E7D"/>
    <w:rsid w:val="007F6914"/>
    <w:rsid w:val="007F692F"/>
    <w:rsid w:val="007F7076"/>
    <w:rsid w:val="007F7ABD"/>
    <w:rsid w:val="007F7B8E"/>
    <w:rsid w:val="008006B4"/>
    <w:rsid w:val="00800A4E"/>
    <w:rsid w:val="00800F20"/>
    <w:rsid w:val="00801578"/>
    <w:rsid w:val="00801696"/>
    <w:rsid w:val="00801DE3"/>
    <w:rsid w:val="00802039"/>
    <w:rsid w:val="00802922"/>
    <w:rsid w:val="008037AE"/>
    <w:rsid w:val="00804FCF"/>
    <w:rsid w:val="008055F9"/>
    <w:rsid w:val="00805843"/>
    <w:rsid w:val="00806A79"/>
    <w:rsid w:val="00806F54"/>
    <w:rsid w:val="00807B79"/>
    <w:rsid w:val="00807F31"/>
    <w:rsid w:val="00807FA4"/>
    <w:rsid w:val="008101C3"/>
    <w:rsid w:val="00810C3B"/>
    <w:rsid w:val="00811513"/>
    <w:rsid w:val="00811815"/>
    <w:rsid w:val="0081192D"/>
    <w:rsid w:val="00811C1B"/>
    <w:rsid w:val="00812555"/>
    <w:rsid w:val="00812D0B"/>
    <w:rsid w:val="00812D38"/>
    <w:rsid w:val="0081304A"/>
    <w:rsid w:val="008136CF"/>
    <w:rsid w:val="00813D49"/>
    <w:rsid w:val="00813F61"/>
    <w:rsid w:val="00814362"/>
    <w:rsid w:val="00814846"/>
    <w:rsid w:val="00814B84"/>
    <w:rsid w:val="00814D97"/>
    <w:rsid w:val="008154BF"/>
    <w:rsid w:val="00815769"/>
    <w:rsid w:val="008161E0"/>
    <w:rsid w:val="00816D84"/>
    <w:rsid w:val="008171FB"/>
    <w:rsid w:val="00817614"/>
    <w:rsid w:val="0081765E"/>
    <w:rsid w:val="00817BBF"/>
    <w:rsid w:val="00817D00"/>
    <w:rsid w:val="008205CB"/>
    <w:rsid w:val="00820EB7"/>
    <w:rsid w:val="008213DB"/>
    <w:rsid w:val="00822562"/>
    <w:rsid w:val="00823169"/>
    <w:rsid w:val="008231D2"/>
    <w:rsid w:val="00823399"/>
    <w:rsid w:val="00823C9E"/>
    <w:rsid w:val="00823EC6"/>
    <w:rsid w:val="00823F7E"/>
    <w:rsid w:val="0082451E"/>
    <w:rsid w:val="0082590E"/>
    <w:rsid w:val="00825C18"/>
    <w:rsid w:val="00825C2B"/>
    <w:rsid w:val="0082633F"/>
    <w:rsid w:val="00826969"/>
    <w:rsid w:val="00826BFA"/>
    <w:rsid w:val="00826F4B"/>
    <w:rsid w:val="00827BE2"/>
    <w:rsid w:val="008300FA"/>
    <w:rsid w:val="00830111"/>
    <w:rsid w:val="008309C2"/>
    <w:rsid w:val="00830CE6"/>
    <w:rsid w:val="008311D9"/>
    <w:rsid w:val="00831811"/>
    <w:rsid w:val="00831BF4"/>
    <w:rsid w:val="00831E48"/>
    <w:rsid w:val="008328DB"/>
    <w:rsid w:val="00833271"/>
    <w:rsid w:val="008339DE"/>
    <w:rsid w:val="00833AD1"/>
    <w:rsid w:val="00833AE2"/>
    <w:rsid w:val="00833C1B"/>
    <w:rsid w:val="00833D26"/>
    <w:rsid w:val="00833D99"/>
    <w:rsid w:val="00834187"/>
    <w:rsid w:val="00834A38"/>
    <w:rsid w:val="00834B41"/>
    <w:rsid w:val="00835050"/>
    <w:rsid w:val="00835CC8"/>
    <w:rsid w:val="00836889"/>
    <w:rsid w:val="00836D11"/>
    <w:rsid w:val="00837A9C"/>
    <w:rsid w:val="008409DA"/>
    <w:rsid w:val="00841213"/>
    <w:rsid w:val="00841925"/>
    <w:rsid w:val="00842191"/>
    <w:rsid w:val="00842431"/>
    <w:rsid w:val="00842871"/>
    <w:rsid w:val="008441FB"/>
    <w:rsid w:val="00845F9A"/>
    <w:rsid w:val="008464F4"/>
    <w:rsid w:val="00846648"/>
    <w:rsid w:val="00846854"/>
    <w:rsid w:val="00846B29"/>
    <w:rsid w:val="00850334"/>
    <w:rsid w:val="008503D4"/>
    <w:rsid w:val="00850799"/>
    <w:rsid w:val="008508B3"/>
    <w:rsid w:val="00850E40"/>
    <w:rsid w:val="008514C4"/>
    <w:rsid w:val="0085202D"/>
    <w:rsid w:val="00852397"/>
    <w:rsid w:val="00852566"/>
    <w:rsid w:val="008526BF"/>
    <w:rsid w:val="008533BC"/>
    <w:rsid w:val="00853AFB"/>
    <w:rsid w:val="00853B41"/>
    <w:rsid w:val="00853C12"/>
    <w:rsid w:val="00854D04"/>
    <w:rsid w:val="008565B7"/>
    <w:rsid w:val="00856B29"/>
    <w:rsid w:val="00856CDA"/>
    <w:rsid w:val="00857B19"/>
    <w:rsid w:val="00857D30"/>
    <w:rsid w:val="00860414"/>
    <w:rsid w:val="008606DF"/>
    <w:rsid w:val="00860DD7"/>
    <w:rsid w:val="008611B9"/>
    <w:rsid w:val="00861C21"/>
    <w:rsid w:val="00862120"/>
    <w:rsid w:val="00862362"/>
    <w:rsid w:val="008630D7"/>
    <w:rsid w:val="0086384F"/>
    <w:rsid w:val="00863AAC"/>
    <w:rsid w:val="00863E4E"/>
    <w:rsid w:val="00863EF9"/>
    <w:rsid w:val="00864481"/>
    <w:rsid w:val="00864B2B"/>
    <w:rsid w:val="0086531B"/>
    <w:rsid w:val="0086534D"/>
    <w:rsid w:val="00865434"/>
    <w:rsid w:val="00866AED"/>
    <w:rsid w:val="00866BF6"/>
    <w:rsid w:val="00866DED"/>
    <w:rsid w:val="00866F92"/>
    <w:rsid w:val="00867280"/>
    <w:rsid w:val="00867F09"/>
    <w:rsid w:val="00867F16"/>
    <w:rsid w:val="008706AF"/>
    <w:rsid w:val="00870A84"/>
    <w:rsid w:val="008710CD"/>
    <w:rsid w:val="008722B8"/>
    <w:rsid w:val="008734F7"/>
    <w:rsid w:val="008746FA"/>
    <w:rsid w:val="00874854"/>
    <w:rsid w:val="0087548E"/>
    <w:rsid w:val="00875F83"/>
    <w:rsid w:val="0087657D"/>
    <w:rsid w:val="00876804"/>
    <w:rsid w:val="00876A37"/>
    <w:rsid w:val="00876ED0"/>
    <w:rsid w:val="00876FB8"/>
    <w:rsid w:val="008771CA"/>
    <w:rsid w:val="008774A7"/>
    <w:rsid w:val="008779CE"/>
    <w:rsid w:val="00877D7D"/>
    <w:rsid w:val="00877DAB"/>
    <w:rsid w:val="00880766"/>
    <w:rsid w:val="00880DC3"/>
    <w:rsid w:val="00880E45"/>
    <w:rsid w:val="008810F3"/>
    <w:rsid w:val="00881242"/>
    <w:rsid w:val="00881681"/>
    <w:rsid w:val="008819F3"/>
    <w:rsid w:val="00881BD5"/>
    <w:rsid w:val="00882B88"/>
    <w:rsid w:val="00882F50"/>
    <w:rsid w:val="008830FF"/>
    <w:rsid w:val="00883996"/>
    <w:rsid w:val="00883BDB"/>
    <w:rsid w:val="008845C4"/>
    <w:rsid w:val="00884720"/>
    <w:rsid w:val="00884781"/>
    <w:rsid w:val="00884BAD"/>
    <w:rsid w:val="00885228"/>
    <w:rsid w:val="00885330"/>
    <w:rsid w:val="00885826"/>
    <w:rsid w:val="008863CF"/>
    <w:rsid w:val="00886715"/>
    <w:rsid w:val="00886B5A"/>
    <w:rsid w:val="00887493"/>
    <w:rsid w:val="008874E7"/>
    <w:rsid w:val="00890091"/>
    <w:rsid w:val="008907B3"/>
    <w:rsid w:val="00890F55"/>
    <w:rsid w:val="00890F64"/>
    <w:rsid w:val="0089175D"/>
    <w:rsid w:val="00891A3F"/>
    <w:rsid w:val="00891B18"/>
    <w:rsid w:val="0089212A"/>
    <w:rsid w:val="00892BC0"/>
    <w:rsid w:val="00893284"/>
    <w:rsid w:val="008935AF"/>
    <w:rsid w:val="008935C9"/>
    <w:rsid w:val="00895049"/>
    <w:rsid w:val="008951BF"/>
    <w:rsid w:val="00895731"/>
    <w:rsid w:val="00895C61"/>
    <w:rsid w:val="00896B5B"/>
    <w:rsid w:val="008970E8"/>
    <w:rsid w:val="0089712E"/>
    <w:rsid w:val="00897453"/>
    <w:rsid w:val="008979A1"/>
    <w:rsid w:val="00897DE9"/>
    <w:rsid w:val="008A00D6"/>
    <w:rsid w:val="008A0283"/>
    <w:rsid w:val="008A03F9"/>
    <w:rsid w:val="008A042A"/>
    <w:rsid w:val="008A04A3"/>
    <w:rsid w:val="008A13E2"/>
    <w:rsid w:val="008A15FA"/>
    <w:rsid w:val="008A196F"/>
    <w:rsid w:val="008A1B89"/>
    <w:rsid w:val="008A1D59"/>
    <w:rsid w:val="008A2593"/>
    <w:rsid w:val="008A2FEA"/>
    <w:rsid w:val="008A34B7"/>
    <w:rsid w:val="008A3E5C"/>
    <w:rsid w:val="008A4C6E"/>
    <w:rsid w:val="008A58BE"/>
    <w:rsid w:val="008A5B9C"/>
    <w:rsid w:val="008A6162"/>
    <w:rsid w:val="008A67E2"/>
    <w:rsid w:val="008A6A12"/>
    <w:rsid w:val="008A6FF4"/>
    <w:rsid w:val="008A70E9"/>
    <w:rsid w:val="008A7185"/>
    <w:rsid w:val="008A7226"/>
    <w:rsid w:val="008A725B"/>
    <w:rsid w:val="008A7F5A"/>
    <w:rsid w:val="008B06CB"/>
    <w:rsid w:val="008B072E"/>
    <w:rsid w:val="008B07A4"/>
    <w:rsid w:val="008B0868"/>
    <w:rsid w:val="008B0F71"/>
    <w:rsid w:val="008B10BC"/>
    <w:rsid w:val="008B1144"/>
    <w:rsid w:val="008B122C"/>
    <w:rsid w:val="008B20F6"/>
    <w:rsid w:val="008B2981"/>
    <w:rsid w:val="008B2F29"/>
    <w:rsid w:val="008B3712"/>
    <w:rsid w:val="008B4CD3"/>
    <w:rsid w:val="008B578B"/>
    <w:rsid w:val="008B5B6E"/>
    <w:rsid w:val="008B686B"/>
    <w:rsid w:val="008B6B15"/>
    <w:rsid w:val="008B6FBF"/>
    <w:rsid w:val="008B73F2"/>
    <w:rsid w:val="008B7443"/>
    <w:rsid w:val="008B751F"/>
    <w:rsid w:val="008B7DF9"/>
    <w:rsid w:val="008C0029"/>
    <w:rsid w:val="008C06D1"/>
    <w:rsid w:val="008C0927"/>
    <w:rsid w:val="008C09C9"/>
    <w:rsid w:val="008C0C88"/>
    <w:rsid w:val="008C0CEA"/>
    <w:rsid w:val="008C0CF8"/>
    <w:rsid w:val="008C12FA"/>
    <w:rsid w:val="008C170B"/>
    <w:rsid w:val="008C1ABA"/>
    <w:rsid w:val="008C2646"/>
    <w:rsid w:val="008C29C3"/>
    <w:rsid w:val="008C4160"/>
    <w:rsid w:val="008C43A8"/>
    <w:rsid w:val="008C4DEE"/>
    <w:rsid w:val="008C5D72"/>
    <w:rsid w:val="008C5ED2"/>
    <w:rsid w:val="008C664D"/>
    <w:rsid w:val="008C692E"/>
    <w:rsid w:val="008C773A"/>
    <w:rsid w:val="008C79F9"/>
    <w:rsid w:val="008C7DE0"/>
    <w:rsid w:val="008D00EC"/>
    <w:rsid w:val="008D043C"/>
    <w:rsid w:val="008D0633"/>
    <w:rsid w:val="008D0F64"/>
    <w:rsid w:val="008D109E"/>
    <w:rsid w:val="008D11C5"/>
    <w:rsid w:val="008D1908"/>
    <w:rsid w:val="008D201C"/>
    <w:rsid w:val="008D221F"/>
    <w:rsid w:val="008D2327"/>
    <w:rsid w:val="008D26D2"/>
    <w:rsid w:val="008D2D78"/>
    <w:rsid w:val="008D2FAE"/>
    <w:rsid w:val="008D2FB0"/>
    <w:rsid w:val="008D4DE6"/>
    <w:rsid w:val="008D4E3B"/>
    <w:rsid w:val="008D4F0D"/>
    <w:rsid w:val="008D51A4"/>
    <w:rsid w:val="008D53FE"/>
    <w:rsid w:val="008D5857"/>
    <w:rsid w:val="008D5B66"/>
    <w:rsid w:val="008D5BA1"/>
    <w:rsid w:val="008D6151"/>
    <w:rsid w:val="008D6B54"/>
    <w:rsid w:val="008D6F84"/>
    <w:rsid w:val="008D7324"/>
    <w:rsid w:val="008D7ABF"/>
    <w:rsid w:val="008E0B12"/>
    <w:rsid w:val="008E0DD0"/>
    <w:rsid w:val="008E1706"/>
    <w:rsid w:val="008E1F1E"/>
    <w:rsid w:val="008E267F"/>
    <w:rsid w:val="008E41C8"/>
    <w:rsid w:val="008E4307"/>
    <w:rsid w:val="008E433E"/>
    <w:rsid w:val="008E4BC6"/>
    <w:rsid w:val="008E50A4"/>
    <w:rsid w:val="008E558C"/>
    <w:rsid w:val="008E57B2"/>
    <w:rsid w:val="008E62D7"/>
    <w:rsid w:val="008E6AFE"/>
    <w:rsid w:val="008E7498"/>
    <w:rsid w:val="008E752B"/>
    <w:rsid w:val="008E7632"/>
    <w:rsid w:val="008E76EE"/>
    <w:rsid w:val="008E7854"/>
    <w:rsid w:val="008E7D53"/>
    <w:rsid w:val="008E7DBB"/>
    <w:rsid w:val="008F01AD"/>
    <w:rsid w:val="008F0D7D"/>
    <w:rsid w:val="008F1FB3"/>
    <w:rsid w:val="008F2139"/>
    <w:rsid w:val="008F24CB"/>
    <w:rsid w:val="008F33ED"/>
    <w:rsid w:val="008F3635"/>
    <w:rsid w:val="008F42D1"/>
    <w:rsid w:val="008F4AE6"/>
    <w:rsid w:val="008F4EFB"/>
    <w:rsid w:val="008F544F"/>
    <w:rsid w:val="008F569E"/>
    <w:rsid w:val="008F58B1"/>
    <w:rsid w:val="008F5B46"/>
    <w:rsid w:val="008F67AC"/>
    <w:rsid w:val="008F6C3F"/>
    <w:rsid w:val="008F777C"/>
    <w:rsid w:val="008F7C5A"/>
    <w:rsid w:val="008F7DC6"/>
    <w:rsid w:val="008F7F9C"/>
    <w:rsid w:val="00901FDA"/>
    <w:rsid w:val="0090200F"/>
    <w:rsid w:val="00903CBE"/>
    <w:rsid w:val="00904126"/>
    <w:rsid w:val="00904127"/>
    <w:rsid w:val="009047C7"/>
    <w:rsid w:val="00904E02"/>
    <w:rsid w:val="0090545F"/>
    <w:rsid w:val="00905820"/>
    <w:rsid w:val="00906CFC"/>
    <w:rsid w:val="009072AD"/>
    <w:rsid w:val="009073DC"/>
    <w:rsid w:val="00907442"/>
    <w:rsid w:val="009077EB"/>
    <w:rsid w:val="0091001D"/>
    <w:rsid w:val="00910142"/>
    <w:rsid w:val="00910463"/>
    <w:rsid w:val="009105D3"/>
    <w:rsid w:val="0091078C"/>
    <w:rsid w:val="0091115E"/>
    <w:rsid w:val="009126BF"/>
    <w:rsid w:val="00912730"/>
    <w:rsid w:val="00912886"/>
    <w:rsid w:val="00912919"/>
    <w:rsid w:val="00912E72"/>
    <w:rsid w:val="00915038"/>
    <w:rsid w:val="0091576C"/>
    <w:rsid w:val="009172A7"/>
    <w:rsid w:val="00917A30"/>
    <w:rsid w:val="00917CB1"/>
    <w:rsid w:val="00920850"/>
    <w:rsid w:val="00920B1C"/>
    <w:rsid w:val="00920E5B"/>
    <w:rsid w:val="00921C67"/>
    <w:rsid w:val="00921DCD"/>
    <w:rsid w:val="00922FC7"/>
    <w:rsid w:val="009231A0"/>
    <w:rsid w:val="009233D9"/>
    <w:rsid w:val="00923479"/>
    <w:rsid w:val="009238F0"/>
    <w:rsid w:val="00923AB0"/>
    <w:rsid w:val="00923B45"/>
    <w:rsid w:val="00923E46"/>
    <w:rsid w:val="00925C10"/>
    <w:rsid w:val="0092662D"/>
    <w:rsid w:val="00926CD5"/>
    <w:rsid w:val="00927CEE"/>
    <w:rsid w:val="00927E2C"/>
    <w:rsid w:val="009309E8"/>
    <w:rsid w:val="00930DD8"/>
    <w:rsid w:val="00931E9D"/>
    <w:rsid w:val="009321B2"/>
    <w:rsid w:val="00932B1F"/>
    <w:rsid w:val="00933B6E"/>
    <w:rsid w:val="00934621"/>
    <w:rsid w:val="009358F7"/>
    <w:rsid w:val="00935997"/>
    <w:rsid w:val="00935BC4"/>
    <w:rsid w:val="00935F94"/>
    <w:rsid w:val="00940060"/>
    <w:rsid w:val="00940272"/>
    <w:rsid w:val="00940B47"/>
    <w:rsid w:val="00941245"/>
    <w:rsid w:val="009418E2"/>
    <w:rsid w:val="00941A3E"/>
    <w:rsid w:val="00941A56"/>
    <w:rsid w:val="009429AF"/>
    <w:rsid w:val="00943684"/>
    <w:rsid w:val="009437EE"/>
    <w:rsid w:val="0094479C"/>
    <w:rsid w:val="00944D05"/>
    <w:rsid w:val="009458C6"/>
    <w:rsid w:val="0094696E"/>
    <w:rsid w:val="009469D0"/>
    <w:rsid w:val="00947651"/>
    <w:rsid w:val="00947ABF"/>
    <w:rsid w:val="00947BD5"/>
    <w:rsid w:val="00950AF9"/>
    <w:rsid w:val="009516EB"/>
    <w:rsid w:val="00951717"/>
    <w:rsid w:val="00951788"/>
    <w:rsid w:val="00952A39"/>
    <w:rsid w:val="00953038"/>
    <w:rsid w:val="0095419F"/>
    <w:rsid w:val="009542D0"/>
    <w:rsid w:val="0095489F"/>
    <w:rsid w:val="00955046"/>
    <w:rsid w:val="00955340"/>
    <w:rsid w:val="00955DE3"/>
    <w:rsid w:val="00955E88"/>
    <w:rsid w:val="0095696E"/>
    <w:rsid w:val="009578C1"/>
    <w:rsid w:val="00957D2F"/>
    <w:rsid w:val="00960552"/>
    <w:rsid w:val="00960941"/>
    <w:rsid w:val="00961229"/>
    <w:rsid w:val="0096252E"/>
    <w:rsid w:val="00962545"/>
    <w:rsid w:val="00962C57"/>
    <w:rsid w:val="00962DF4"/>
    <w:rsid w:val="00963886"/>
    <w:rsid w:val="00963C8B"/>
    <w:rsid w:val="00964748"/>
    <w:rsid w:val="0096480D"/>
    <w:rsid w:val="00964DF9"/>
    <w:rsid w:val="00964E5B"/>
    <w:rsid w:val="00965BA1"/>
    <w:rsid w:val="009661AE"/>
    <w:rsid w:val="00966229"/>
    <w:rsid w:val="00967EDA"/>
    <w:rsid w:val="00967F62"/>
    <w:rsid w:val="00970164"/>
    <w:rsid w:val="00970CF1"/>
    <w:rsid w:val="00970F34"/>
    <w:rsid w:val="00971170"/>
    <w:rsid w:val="009713E9"/>
    <w:rsid w:val="009715F6"/>
    <w:rsid w:val="00971C41"/>
    <w:rsid w:val="0097205A"/>
    <w:rsid w:val="00972A1B"/>
    <w:rsid w:val="00972A7A"/>
    <w:rsid w:val="00972C5A"/>
    <w:rsid w:val="00972DA9"/>
    <w:rsid w:val="00974040"/>
    <w:rsid w:val="00974855"/>
    <w:rsid w:val="00974F39"/>
    <w:rsid w:val="00975303"/>
    <w:rsid w:val="009755A4"/>
    <w:rsid w:val="00975F86"/>
    <w:rsid w:val="00976313"/>
    <w:rsid w:val="00976F6A"/>
    <w:rsid w:val="00977261"/>
    <w:rsid w:val="0097742E"/>
    <w:rsid w:val="0098023E"/>
    <w:rsid w:val="009814A7"/>
    <w:rsid w:val="0098165D"/>
    <w:rsid w:val="00981BA0"/>
    <w:rsid w:val="00981BB5"/>
    <w:rsid w:val="0098250D"/>
    <w:rsid w:val="009828A0"/>
    <w:rsid w:val="0098385E"/>
    <w:rsid w:val="009842CC"/>
    <w:rsid w:val="009843C0"/>
    <w:rsid w:val="009843F7"/>
    <w:rsid w:val="009845CB"/>
    <w:rsid w:val="00984C3E"/>
    <w:rsid w:val="00984F87"/>
    <w:rsid w:val="00985400"/>
    <w:rsid w:val="009864D5"/>
    <w:rsid w:val="00986FC2"/>
    <w:rsid w:val="00987278"/>
    <w:rsid w:val="0098735A"/>
    <w:rsid w:val="009904FA"/>
    <w:rsid w:val="00990660"/>
    <w:rsid w:val="0099082F"/>
    <w:rsid w:val="00990B17"/>
    <w:rsid w:val="00991428"/>
    <w:rsid w:val="00991787"/>
    <w:rsid w:val="009918F9"/>
    <w:rsid w:val="00991A68"/>
    <w:rsid w:val="00991BD0"/>
    <w:rsid w:val="00991F92"/>
    <w:rsid w:val="00993DD1"/>
    <w:rsid w:val="00994810"/>
    <w:rsid w:val="009950A2"/>
    <w:rsid w:val="00995160"/>
    <w:rsid w:val="0099527E"/>
    <w:rsid w:val="00995B21"/>
    <w:rsid w:val="00995B34"/>
    <w:rsid w:val="009963FC"/>
    <w:rsid w:val="0099687A"/>
    <w:rsid w:val="0099753E"/>
    <w:rsid w:val="00997777"/>
    <w:rsid w:val="009A07C9"/>
    <w:rsid w:val="009A0B6C"/>
    <w:rsid w:val="009A0F18"/>
    <w:rsid w:val="009A171C"/>
    <w:rsid w:val="009A22F9"/>
    <w:rsid w:val="009A2B25"/>
    <w:rsid w:val="009A2F6A"/>
    <w:rsid w:val="009A3037"/>
    <w:rsid w:val="009A3163"/>
    <w:rsid w:val="009A42C8"/>
    <w:rsid w:val="009A48E8"/>
    <w:rsid w:val="009A568B"/>
    <w:rsid w:val="009A59D8"/>
    <w:rsid w:val="009A5AF5"/>
    <w:rsid w:val="009A5B5A"/>
    <w:rsid w:val="009A666D"/>
    <w:rsid w:val="009A734D"/>
    <w:rsid w:val="009A778D"/>
    <w:rsid w:val="009A7AF7"/>
    <w:rsid w:val="009A7DC6"/>
    <w:rsid w:val="009B0135"/>
    <w:rsid w:val="009B0771"/>
    <w:rsid w:val="009B0F0F"/>
    <w:rsid w:val="009B133B"/>
    <w:rsid w:val="009B3D42"/>
    <w:rsid w:val="009B424E"/>
    <w:rsid w:val="009B55FB"/>
    <w:rsid w:val="009B562A"/>
    <w:rsid w:val="009B6588"/>
    <w:rsid w:val="009B7287"/>
    <w:rsid w:val="009B7B11"/>
    <w:rsid w:val="009C0344"/>
    <w:rsid w:val="009C09B7"/>
    <w:rsid w:val="009C0A83"/>
    <w:rsid w:val="009C0DA4"/>
    <w:rsid w:val="009C1170"/>
    <w:rsid w:val="009C18CC"/>
    <w:rsid w:val="009C258A"/>
    <w:rsid w:val="009C2707"/>
    <w:rsid w:val="009C2835"/>
    <w:rsid w:val="009C2A0D"/>
    <w:rsid w:val="009C2CD1"/>
    <w:rsid w:val="009C39BE"/>
    <w:rsid w:val="009C3D00"/>
    <w:rsid w:val="009C41E1"/>
    <w:rsid w:val="009C4235"/>
    <w:rsid w:val="009C4F1B"/>
    <w:rsid w:val="009C615B"/>
    <w:rsid w:val="009C666F"/>
    <w:rsid w:val="009C6AD5"/>
    <w:rsid w:val="009C6D90"/>
    <w:rsid w:val="009C6EF0"/>
    <w:rsid w:val="009C72C5"/>
    <w:rsid w:val="009C737B"/>
    <w:rsid w:val="009C76B0"/>
    <w:rsid w:val="009C7995"/>
    <w:rsid w:val="009D0094"/>
    <w:rsid w:val="009D0F03"/>
    <w:rsid w:val="009D1055"/>
    <w:rsid w:val="009D13F5"/>
    <w:rsid w:val="009D1D2C"/>
    <w:rsid w:val="009D380B"/>
    <w:rsid w:val="009D39E9"/>
    <w:rsid w:val="009D4777"/>
    <w:rsid w:val="009D5327"/>
    <w:rsid w:val="009D58CA"/>
    <w:rsid w:val="009D65DA"/>
    <w:rsid w:val="009D689B"/>
    <w:rsid w:val="009D79A5"/>
    <w:rsid w:val="009D7CE0"/>
    <w:rsid w:val="009D7E24"/>
    <w:rsid w:val="009E1850"/>
    <w:rsid w:val="009E2BCA"/>
    <w:rsid w:val="009E2D01"/>
    <w:rsid w:val="009E329F"/>
    <w:rsid w:val="009E3FE2"/>
    <w:rsid w:val="009E42C6"/>
    <w:rsid w:val="009E4CEF"/>
    <w:rsid w:val="009E4DFE"/>
    <w:rsid w:val="009E5A58"/>
    <w:rsid w:val="009E606A"/>
    <w:rsid w:val="009E6DB7"/>
    <w:rsid w:val="009E7D88"/>
    <w:rsid w:val="009E7DFE"/>
    <w:rsid w:val="009F1FA9"/>
    <w:rsid w:val="009F2209"/>
    <w:rsid w:val="009F26F8"/>
    <w:rsid w:val="009F365F"/>
    <w:rsid w:val="009F4251"/>
    <w:rsid w:val="009F4B63"/>
    <w:rsid w:val="009F5745"/>
    <w:rsid w:val="009F59F4"/>
    <w:rsid w:val="009F5D2E"/>
    <w:rsid w:val="009F5E82"/>
    <w:rsid w:val="009F635B"/>
    <w:rsid w:val="009F67D1"/>
    <w:rsid w:val="009F7715"/>
    <w:rsid w:val="009F7DD8"/>
    <w:rsid w:val="00A00710"/>
    <w:rsid w:val="00A0103E"/>
    <w:rsid w:val="00A013FA"/>
    <w:rsid w:val="00A01B52"/>
    <w:rsid w:val="00A02290"/>
    <w:rsid w:val="00A0257E"/>
    <w:rsid w:val="00A026C0"/>
    <w:rsid w:val="00A03A3B"/>
    <w:rsid w:val="00A0456C"/>
    <w:rsid w:val="00A04A6F"/>
    <w:rsid w:val="00A04BD8"/>
    <w:rsid w:val="00A04E6D"/>
    <w:rsid w:val="00A05D11"/>
    <w:rsid w:val="00A05D76"/>
    <w:rsid w:val="00A06D45"/>
    <w:rsid w:val="00A077F8"/>
    <w:rsid w:val="00A10014"/>
    <w:rsid w:val="00A10654"/>
    <w:rsid w:val="00A109FB"/>
    <w:rsid w:val="00A11E85"/>
    <w:rsid w:val="00A1200D"/>
    <w:rsid w:val="00A1298A"/>
    <w:rsid w:val="00A13080"/>
    <w:rsid w:val="00A135A7"/>
    <w:rsid w:val="00A136B1"/>
    <w:rsid w:val="00A1375F"/>
    <w:rsid w:val="00A13F58"/>
    <w:rsid w:val="00A149CC"/>
    <w:rsid w:val="00A15492"/>
    <w:rsid w:val="00A16032"/>
    <w:rsid w:val="00A16D8E"/>
    <w:rsid w:val="00A16F68"/>
    <w:rsid w:val="00A16FA9"/>
    <w:rsid w:val="00A17C5E"/>
    <w:rsid w:val="00A205EF"/>
    <w:rsid w:val="00A20E87"/>
    <w:rsid w:val="00A20F90"/>
    <w:rsid w:val="00A21019"/>
    <w:rsid w:val="00A211EF"/>
    <w:rsid w:val="00A21328"/>
    <w:rsid w:val="00A21597"/>
    <w:rsid w:val="00A22285"/>
    <w:rsid w:val="00A2250A"/>
    <w:rsid w:val="00A23313"/>
    <w:rsid w:val="00A235E1"/>
    <w:rsid w:val="00A23C01"/>
    <w:rsid w:val="00A23EC4"/>
    <w:rsid w:val="00A243A0"/>
    <w:rsid w:val="00A246AB"/>
    <w:rsid w:val="00A250AB"/>
    <w:rsid w:val="00A253C3"/>
    <w:rsid w:val="00A25A5B"/>
    <w:rsid w:val="00A25D62"/>
    <w:rsid w:val="00A264A8"/>
    <w:rsid w:val="00A2691E"/>
    <w:rsid w:val="00A26A2C"/>
    <w:rsid w:val="00A26D7E"/>
    <w:rsid w:val="00A2713C"/>
    <w:rsid w:val="00A2750A"/>
    <w:rsid w:val="00A27564"/>
    <w:rsid w:val="00A3100E"/>
    <w:rsid w:val="00A310DD"/>
    <w:rsid w:val="00A317F9"/>
    <w:rsid w:val="00A3180C"/>
    <w:rsid w:val="00A31F21"/>
    <w:rsid w:val="00A32115"/>
    <w:rsid w:val="00A325FA"/>
    <w:rsid w:val="00A32977"/>
    <w:rsid w:val="00A33486"/>
    <w:rsid w:val="00A33782"/>
    <w:rsid w:val="00A3387B"/>
    <w:rsid w:val="00A34823"/>
    <w:rsid w:val="00A35218"/>
    <w:rsid w:val="00A3549F"/>
    <w:rsid w:val="00A35641"/>
    <w:rsid w:val="00A35A74"/>
    <w:rsid w:val="00A35F23"/>
    <w:rsid w:val="00A373A8"/>
    <w:rsid w:val="00A37850"/>
    <w:rsid w:val="00A378A3"/>
    <w:rsid w:val="00A37A3A"/>
    <w:rsid w:val="00A408B5"/>
    <w:rsid w:val="00A40BC5"/>
    <w:rsid w:val="00A410BE"/>
    <w:rsid w:val="00A4152D"/>
    <w:rsid w:val="00A41FAB"/>
    <w:rsid w:val="00A41FAD"/>
    <w:rsid w:val="00A4264A"/>
    <w:rsid w:val="00A426E9"/>
    <w:rsid w:val="00A4301C"/>
    <w:rsid w:val="00A43257"/>
    <w:rsid w:val="00A4331A"/>
    <w:rsid w:val="00A433E2"/>
    <w:rsid w:val="00A44143"/>
    <w:rsid w:val="00A44545"/>
    <w:rsid w:val="00A44A35"/>
    <w:rsid w:val="00A44A5D"/>
    <w:rsid w:val="00A44E5B"/>
    <w:rsid w:val="00A44FA4"/>
    <w:rsid w:val="00A454B3"/>
    <w:rsid w:val="00A455DD"/>
    <w:rsid w:val="00A46CB8"/>
    <w:rsid w:val="00A47870"/>
    <w:rsid w:val="00A47C90"/>
    <w:rsid w:val="00A50D04"/>
    <w:rsid w:val="00A50EA4"/>
    <w:rsid w:val="00A5103F"/>
    <w:rsid w:val="00A51284"/>
    <w:rsid w:val="00A51624"/>
    <w:rsid w:val="00A51978"/>
    <w:rsid w:val="00A51B28"/>
    <w:rsid w:val="00A51E5C"/>
    <w:rsid w:val="00A52082"/>
    <w:rsid w:val="00A52588"/>
    <w:rsid w:val="00A529BB"/>
    <w:rsid w:val="00A53BF9"/>
    <w:rsid w:val="00A54443"/>
    <w:rsid w:val="00A5479E"/>
    <w:rsid w:val="00A54A0C"/>
    <w:rsid w:val="00A5549D"/>
    <w:rsid w:val="00A56144"/>
    <w:rsid w:val="00A5646C"/>
    <w:rsid w:val="00A56A2F"/>
    <w:rsid w:val="00A574F0"/>
    <w:rsid w:val="00A604CA"/>
    <w:rsid w:val="00A60518"/>
    <w:rsid w:val="00A607DB"/>
    <w:rsid w:val="00A60C2B"/>
    <w:rsid w:val="00A61675"/>
    <w:rsid w:val="00A617F4"/>
    <w:rsid w:val="00A61CDB"/>
    <w:rsid w:val="00A61F81"/>
    <w:rsid w:val="00A63504"/>
    <w:rsid w:val="00A64EE5"/>
    <w:rsid w:val="00A6563F"/>
    <w:rsid w:val="00A65BF5"/>
    <w:rsid w:val="00A65D3E"/>
    <w:rsid w:val="00A662C0"/>
    <w:rsid w:val="00A66319"/>
    <w:rsid w:val="00A66372"/>
    <w:rsid w:val="00A664D3"/>
    <w:rsid w:val="00A66A95"/>
    <w:rsid w:val="00A672BB"/>
    <w:rsid w:val="00A672BF"/>
    <w:rsid w:val="00A676F1"/>
    <w:rsid w:val="00A67823"/>
    <w:rsid w:val="00A67DD7"/>
    <w:rsid w:val="00A67FBC"/>
    <w:rsid w:val="00A7035A"/>
    <w:rsid w:val="00A70CC7"/>
    <w:rsid w:val="00A70F8B"/>
    <w:rsid w:val="00A71282"/>
    <w:rsid w:val="00A72D47"/>
    <w:rsid w:val="00A73043"/>
    <w:rsid w:val="00A7345D"/>
    <w:rsid w:val="00A73CFB"/>
    <w:rsid w:val="00A74139"/>
    <w:rsid w:val="00A74444"/>
    <w:rsid w:val="00A74B82"/>
    <w:rsid w:val="00A74E47"/>
    <w:rsid w:val="00A75094"/>
    <w:rsid w:val="00A75398"/>
    <w:rsid w:val="00A75849"/>
    <w:rsid w:val="00A75912"/>
    <w:rsid w:val="00A76123"/>
    <w:rsid w:val="00A761E2"/>
    <w:rsid w:val="00A765AD"/>
    <w:rsid w:val="00A76A97"/>
    <w:rsid w:val="00A778C4"/>
    <w:rsid w:val="00A77B13"/>
    <w:rsid w:val="00A77FFD"/>
    <w:rsid w:val="00A80877"/>
    <w:rsid w:val="00A8087C"/>
    <w:rsid w:val="00A80C7E"/>
    <w:rsid w:val="00A820CF"/>
    <w:rsid w:val="00A827F7"/>
    <w:rsid w:val="00A841F2"/>
    <w:rsid w:val="00A84CCF"/>
    <w:rsid w:val="00A856B0"/>
    <w:rsid w:val="00A85A6B"/>
    <w:rsid w:val="00A85DE8"/>
    <w:rsid w:val="00A868C8"/>
    <w:rsid w:val="00A86BC9"/>
    <w:rsid w:val="00A86D0C"/>
    <w:rsid w:val="00A86E7D"/>
    <w:rsid w:val="00A87CA4"/>
    <w:rsid w:val="00A87EE0"/>
    <w:rsid w:val="00A901E0"/>
    <w:rsid w:val="00A903D8"/>
    <w:rsid w:val="00A90565"/>
    <w:rsid w:val="00A906BD"/>
    <w:rsid w:val="00A91373"/>
    <w:rsid w:val="00A91733"/>
    <w:rsid w:val="00A91CD9"/>
    <w:rsid w:val="00A91E6F"/>
    <w:rsid w:val="00A922B5"/>
    <w:rsid w:val="00A92317"/>
    <w:rsid w:val="00A9241C"/>
    <w:rsid w:val="00A92C9A"/>
    <w:rsid w:val="00A938CB"/>
    <w:rsid w:val="00A939B9"/>
    <w:rsid w:val="00A93FD5"/>
    <w:rsid w:val="00A94EE9"/>
    <w:rsid w:val="00A95F71"/>
    <w:rsid w:val="00A964C8"/>
    <w:rsid w:val="00A96C06"/>
    <w:rsid w:val="00A972C1"/>
    <w:rsid w:val="00A975B4"/>
    <w:rsid w:val="00A9787E"/>
    <w:rsid w:val="00A97ED0"/>
    <w:rsid w:val="00AA02A2"/>
    <w:rsid w:val="00AA03BB"/>
    <w:rsid w:val="00AA16E6"/>
    <w:rsid w:val="00AA1B85"/>
    <w:rsid w:val="00AA20BC"/>
    <w:rsid w:val="00AA22A9"/>
    <w:rsid w:val="00AA22AA"/>
    <w:rsid w:val="00AA3123"/>
    <w:rsid w:val="00AA3333"/>
    <w:rsid w:val="00AA3869"/>
    <w:rsid w:val="00AA3D62"/>
    <w:rsid w:val="00AA3E76"/>
    <w:rsid w:val="00AA4A1D"/>
    <w:rsid w:val="00AA4F42"/>
    <w:rsid w:val="00AA4FA1"/>
    <w:rsid w:val="00AA666B"/>
    <w:rsid w:val="00AA66CB"/>
    <w:rsid w:val="00AA6BCD"/>
    <w:rsid w:val="00AA79D5"/>
    <w:rsid w:val="00AB04FD"/>
    <w:rsid w:val="00AB0D4E"/>
    <w:rsid w:val="00AB0F2B"/>
    <w:rsid w:val="00AB1709"/>
    <w:rsid w:val="00AB26EE"/>
    <w:rsid w:val="00AB2AC3"/>
    <w:rsid w:val="00AB3092"/>
    <w:rsid w:val="00AB468D"/>
    <w:rsid w:val="00AB4C35"/>
    <w:rsid w:val="00AB55B3"/>
    <w:rsid w:val="00AB5797"/>
    <w:rsid w:val="00AB58FE"/>
    <w:rsid w:val="00AB6491"/>
    <w:rsid w:val="00AB6B96"/>
    <w:rsid w:val="00AB6D06"/>
    <w:rsid w:val="00AB7430"/>
    <w:rsid w:val="00AB7670"/>
    <w:rsid w:val="00AB76DD"/>
    <w:rsid w:val="00AC0A4F"/>
    <w:rsid w:val="00AC0C37"/>
    <w:rsid w:val="00AC0CD7"/>
    <w:rsid w:val="00AC0D45"/>
    <w:rsid w:val="00AC0EB5"/>
    <w:rsid w:val="00AC1370"/>
    <w:rsid w:val="00AC1427"/>
    <w:rsid w:val="00AC1C91"/>
    <w:rsid w:val="00AC282F"/>
    <w:rsid w:val="00AC2BEC"/>
    <w:rsid w:val="00AC34CA"/>
    <w:rsid w:val="00AC3626"/>
    <w:rsid w:val="00AC3768"/>
    <w:rsid w:val="00AC39D9"/>
    <w:rsid w:val="00AC3CA0"/>
    <w:rsid w:val="00AC4D8F"/>
    <w:rsid w:val="00AC53ED"/>
    <w:rsid w:val="00AC5492"/>
    <w:rsid w:val="00AC5F0E"/>
    <w:rsid w:val="00AC6665"/>
    <w:rsid w:val="00AC6A5E"/>
    <w:rsid w:val="00AC6FDD"/>
    <w:rsid w:val="00AD0668"/>
    <w:rsid w:val="00AD08EE"/>
    <w:rsid w:val="00AD0EB9"/>
    <w:rsid w:val="00AD154E"/>
    <w:rsid w:val="00AD1A78"/>
    <w:rsid w:val="00AD1DB3"/>
    <w:rsid w:val="00AD29BF"/>
    <w:rsid w:val="00AD402B"/>
    <w:rsid w:val="00AD49EE"/>
    <w:rsid w:val="00AD4CFB"/>
    <w:rsid w:val="00AD4D48"/>
    <w:rsid w:val="00AD56E8"/>
    <w:rsid w:val="00AD575B"/>
    <w:rsid w:val="00AD67B5"/>
    <w:rsid w:val="00AD7002"/>
    <w:rsid w:val="00AD703B"/>
    <w:rsid w:val="00AD70BA"/>
    <w:rsid w:val="00AD765A"/>
    <w:rsid w:val="00AE08F1"/>
    <w:rsid w:val="00AE0965"/>
    <w:rsid w:val="00AE1714"/>
    <w:rsid w:val="00AE1F1E"/>
    <w:rsid w:val="00AE1FB6"/>
    <w:rsid w:val="00AE2ADA"/>
    <w:rsid w:val="00AE325A"/>
    <w:rsid w:val="00AE3948"/>
    <w:rsid w:val="00AE3CF1"/>
    <w:rsid w:val="00AE4830"/>
    <w:rsid w:val="00AE49D3"/>
    <w:rsid w:val="00AE4B0B"/>
    <w:rsid w:val="00AE5742"/>
    <w:rsid w:val="00AE57E0"/>
    <w:rsid w:val="00AE5BFE"/>
    <w:rsid w:val="00AE76E4"/>
    <w:rsid w:val="00AE7CA7"/>
    <w:rsid w:val="00AF03E1"/>
    <w:rsid w:val="00AF0842"/>
    <w:rsid w:val="00AF0A09"/>
    <w:rsid w:val="00AF0C05"/>
    <w:rsid w:val="00AF0F95"/>
    <w:rsid w:val="00AF2DD7"/>
    <w:rsid w:val="00AF2EC4"/>
    <w:rsid w:val="00AF34BF"/>
    <w:rsid w:val="00AF39E4"/>
    <w:rsid w:val="00AF3D28"/>
    <w:rsid w:val="00AF446D"/>
    <w:rsid w:val="00AF4CBA"/>
    <w:rsid w:val="00AF4CDF"/>
    <w:rsid w:val="00AF544F"/>
    <w:rsid w:val="00AF6410"/>
    <w:rsid w:val="00AF67C1"/>
    <w:rsid w:val="00AF766E"/>
    <w:rsid w:val="00B00362"/>
    <w:rsid w:val="00B015CB"/>
    <w:rsid w:val="00B01C5D"/>
    <w:rsid w:val="00B02AB6"/>
    <w:rsid w:val="00B02D87"/>
    <w:rsid w:val="00B03BF3"/>
    <w:rsid w:val="00B04CEA"/>
    <w:rsid w:val="00B05886"/>
    <w:rsid w:val="00B06ED4"/>
    <w:rsid w:val="00B074D0"/>
    <w:rsid w:val="00B07BDC"/>
    <w:rsid w:val="00B07CF1"/>
    <w:rsid w:val="00B10725"/>
    <w:rsid w:val="00B107DB"/>
    <w:rsid w:val="00B10AE0"/>
    <w:rsid w:val="00B10D63"/>
    <w:rsid w:val="00B1118B"/>
    <w:rsid w:val="00B1148F"/>
    <w:rsid w:val="00B117EE"/>
    <w:rsid w:val="00B11B03"/>
    <w:rsid w:val="00B11E6D"/>
    <w:rsid w:val="00B11EC6"/>
    <w:rsid w:val="00B1214C"/>
    <w:rsid w:val="00B12268"/>
    <w:rsid w:val="00B12418"/>
    <w:rsid w:val="00B12688"/>
    <w:rsid w:val="00B12857"/>
    <w:rsid w:val="00B12FAF"/>
    <w:rsid w:val="00B132A1"/>
    <w:rsid w:val="00B1382D"/>
    <w:rsid w:val="00B13CA2"/>
    <w:rsid w:val="00B14854"/>
    <w:rsid w:val="00B14EA6"/>
    <w:rsid w:val="00B1544B"/>
    <w:rsid w:val="00B159CC"/>
    <w:rsid w:val="00B15BDC"/>
    <w:rsid w:val="00B15C19"/>
    <w:rsid w:val="00B160A7"/>
    <w:rsid w:val="00B161AE"/>
    <w:rsid w:val="00B17622"/>
    <w:rsid w:val="00B2000B"/>
    <w:rsid w:val="00B20032"/>
    <w:rsid w:val="00B20EE5"/>
    <w:rsid w:val="00B21249"/>
    <w:rsid w:val="00B228A4"/>
    <w:rsid w:val="00B22B16"/>
    <w:rsid w:val="00B22E49"/>
    <w:rsid w:val="00B22F96"/>
    <w:rsid w:val="00B23C55"/>
    <w:rsid w:val="00B24882"/>
    <w:rsid w:val="00B25840"/>
    <w:rsid w:val="00B25AE7"/>
    <w:rsid w:val="00B2661E"/>
    <w:rsid w:val="00B27036"/>
    <w:rsid w:val="00B270B2"/>
    <w:rsid w:val="00B273AA"/>
    <w:rsid w:val="00B279E8"/>
    <w:rsid w:val="00B27B09"/>
    <w:rsid w:val="00B27C21"/>
    <w:rsid w:val="00B27CB3"/>
    <w:rsid w:val="00B30220"/>
    <w:rsid w:val="00B307DC"/>
    <w:rsid w:val="00B3149E"/>
    <w:rsid w:val="00B31618"/>
    <w:rsid w:val="00B31A5A"/>
    <w:rsid w:val="00B31C46"/>
    <w:rsid w:val="00B31F40"/>
    <w:rsid w:val="00B324EF"/>
    <w:rsid w:val="00B332BB"/>
    <w:rsid w:val="00B33821"/>
    <w:rsid w:val="00B33FFA"/>
    <w:rsid w:val="00B34BB1"/>
    <w:rsid w:val="00B34CD9"/>
    <w:rsid w:val="00B34E69"/>
    <w:rsid w:val="00B34ECE"/>
    <w:rsid w:val="00B357B5"/>
    <w:rsid w:val="00B365C3"/>
    <w:rsid w:val="00B36AA1"/>
    <w:rsid w:val="00B378E5"/>
    <w:rsid w:val="00B37A0C"/>
    <w:rsid w:val="00B4017C"/>
    <w:rsid w:val="00B401CA"/>
    <w:rsid w:val="00B405AD"/>
    <w:rsid w:val="00B405B9"/>
    <w:rsid w:val="00B40EE7"/>
    <w:rsid w:val="00B412ED"/>
    <w:rsid w:val="00B42124"/>
    <w:rsid w:val="00B424CD"/>
    <w:rsid w:val="00B42AC6"/>
    <w:rsid w:val="00B43023"/>
    <w:rsid w:val="00B4349C"/>
    <w:rsid w:val="00B43F1C"/>
    <w:rsid w:val="00B43FC2"/>
    <w:rsid w:val="00B4434E"/>
    <w:rsid w:val="00B44B86"/>
    <w:rsid w:val="00B45818"/>
    <w:rsid w:val="00B467EE"/>
    <w:rsid w:val="00B46C43"/>
    <w:rsid w:val="00B46D4E"/>
    <w:rsid w:val="00B472FC"/>
    <w:rsid w:val="00B477D3"/>
    <w:rsid w:val="00B50238"/>
    <w:rsid w:val="00B50E32"/>
    <w:rsid w:val="00B50F46"/>
    <w:rsid w:val="00B5111C"/>
    <w:rsid w:val="00B51CCF"/>
    <w:rsid w:val="00B5265B"/>
    <w:rsid w:val="00B52B83"/>
    <w:rsid w:val="00B52EA0"/>
    <w:rsid w:val="00B53BD0"/>
    <w:rsid w:val="00B542A5"/>
    <w:rsid w:val="00B545B8"/>
    <w:rsid w:val="00B54B5A"/>
    <w:rsid w:val="00B55132"/>
    <w:rsid w:val="00B55F77"/>
    <w:rsid w:val="00B57289"/>
    <w:rsid w:val="00B6010C"/>
    <w:rsid w:val="00B60877"/>
    <w:rsid w:val="00B6144F"/>
    <w:rsid w:val="00B61563"/>
    <w:rsid w:val="00B6174B"/>
    <w:rsid w:val="00B617D9"/>
    <w:rsid w:val="00B61A3E"/>
    <w:rsid w:val="00B6244F"/>
    <w:rsid w:val="00B62A6E"/>
    <w:rsid w:val="00B62D79"/>
    <w:rsid w:val="00B62E66"/>
    <w:rsid w:val="00B63404"/>
    <w:rsid w:val="00B63448"/>
    <w:rsid w:val="00B63DF4"/>
    <w:rsid w:val="00B64351"/>
    <w:rsid w:val="00B6492F"/>
    <w:rsid w:val="00B64A77"/>
    <w:rsid w:val="00B65B8F"/>
    <w:rsid w:val="00B66625"/>
    <w:rsid w:val="00B66AEF"/>
    <w:rsid w:val="00B66ED2"/>
    <w:rsid w:val="00B70412"/>
    <w:rsid w:val="00B719C3"/>
    <w:rsid w:val="00B71AC1"/>
    <w:rsid w:val="00B71C9F"/>
    <w:rsid w:val="00B725B7"/>
    <w:rsid w:val="00B726B5"/>
    <w:rsid w:val="00B72711"/>
    <w:rsid w:val="00B7274D"/>
    <w:rsid w:val="00B727FF"/>
    <w:rsid w:val="00B7297C"/>
    <w:rsid w:val="00B7373C"/>
    <w:rsid w:val="00B73969"/>
    <w:rsid w:val="00B75830"/>
    <w:rsid w:val="00B758DE"/>
    <w:rsid w:val="00B75F5D"/>
    <w:rsid w:val="00B769D6"/>
    <w:rsid w:val="00B76EEA"/>
    <w:rsid w:val="00B77E11"/>
    <w:rsid w:val="00B80322"/>
    <w:rsid w:val="00B80EFD"/>
    <w:rsid w:val="00B810E6"/>
    <w:rsid w:val="00B81410"/>
    <w:rsid w:val="00B81630"/>
    <w:rsid w:val="00B81D22"/>
    <w:rsid w:val="00B82C96"/>
    <w:rsid w:val="00B830CA"/>
    <w:rsid w:val="00B834E9"/>
    <w:rsid w:val="00B83D8F"/>
    <w:rsid w:val="00B8537A"/>
    <w:rsid w:val="00B85EF1"/>
    <w:rsid w:val="00B86A1A"/>
    <w:rsid w:val="00B86A55"/>
    <w:rsid w:val="00B8756F"/>
    <w:rsid w:val="00B87A7E"/>
    <w:rsid w:val="00B90D84"/>
    <w:rsid w:val="00B90DFE"/>
    <w:rsid w:val="00B9139E"/>
    <w:rsid w:val="00B924FF"/>
    <w:rsid w:val="00B928D0"/>
    <w:rsid w:val="00B92BCE"/>
    <w:rsid w:val="00B93A4F"/>
    <w:rsid w:val="00B94306"/>
    <w:rsid w:val="00B94913"/>
    <w:rsid w:val="00B94ED7"/>
    <w:rsid w:val="00B94F12"/>
    <w:rsid w:val="00B95423"/>
    <w:rsid w:val="00B95564"/>
    <w:rsid w:val="00B95BA6"/>
    <w:rsid w:val="00B9621E"/>
    <w:rsid w:val="00B96B01"/>
    <w:rsid w:val="00B96BF0"/>
    <w:rsid w:val="00B96F5B"/>
    <w:rsid w:val="00B97350"/>
    <w:rsid w:val="00B97639"/>
    <w:rsid w:val="00B97A9C"/>
    <w:rsid w:val="00B97AFB"/>
    <w:rsid w:val="00BA01B0"/>
    <w:rsid w:val="00BA02F6"/>
    <w:rsid w:val="00BA0DBE"/>
    <w:rsid w:val="00BA0E3C"/>
    <w:rsid w:val="00BA191F"/>
    <w:rsid w:val="00BA1E7D"/>
    <w:rsid w:val="00BA2B3A"/>
    <w:rsid w:val="00BA2D62"/>
    <w:rsid w:val="00BA34B4"/>
    <w:rsid w:val="00BA3DA7"/>
    <w:rsid w:val="00BA4B3D"/>
    <w:rsid w:val="00BA4C66"/>
    <w:rsid w:val="00BA4EF0"/>
    <w:rsid w:val="00BA613A"/>
    <w:rsid w:val="00BA69EA"/>
    <w:rsid w:val="00BA6B47"/>
    <w:rsid w:val="00BA787C"/>
    <w:rsid w:val="00BA7BB2"/>
    <w:rsid w:val="00BB00DD"/>
    <w:rsid w:val="00BB0210"/>
    <w:rsid w:val="00BB0B31"/>
    <w:rsid w:val="00BB1159"/>
    <w:rsid w:val="00BB15E2"/>
    <w:rsid w:val="00BB18AF"/>
    <w:rsid w:val="00BB1EC9"/>
    <w:rsid w:val="00BB25F9"/>
    <w:rsid w:val="00BB2EE1"/>
    <w:rsid w:val="00BB4188"/>
    <w:rsid w:val="00BB4E69"/>
    <w:rsid w:val="00BB4F0F"/>
    <w:rsid w:val="00BB4FC0"/>
    <w:rsid w:val="00BB5332"/>
    <w:rsid w:val="00BB567B"/>
    <w:rsid w:val="00BB6DDE"/>
    <w:rsid w:val="00BB718F"/>
    <w:rsid w:val="00BC09E2"/>
    <w:rsid w:val="00BC1423"/>
    <w:rsid w:val="00BC1FF7"/>
    <w:rsid w:val="00BC20F7"/>
    <w:rsid w:val="00BC233A"/>
    <w:rsid w:val="00BC267C"/>
    <w:rsid w:val="00BC287E"/>
    <w:rsid w:val="00BC2934"/>
    <w:rsid w:val="00BC36F9"/>
    <w:rsid w:val="00BC47F6"/>
    <w:rsid w:val="00BC563E"/>
    <w:rsid w:val="00BC61B7"/>
    <w:rsid w:val="00BC69DE"/>
    <w:rsid w:val="00BC6F51"/>
    <w:rsid w:val="00BC71DC"/>
    <w:rsid w:val="00BC798A"/>
    <w:rsid w:val="00BD0593"/>
    <w:rsid w:val="00BD0A77"/>
    <w:rsid w:val="00BD10D3"/>
    <w:rsid w:val="00BD1236"/>
    <w:rsid w:val="00BD13BB"/>
    <w:rsid w:val="00BD1712"/>
    <w:rsid w:val="00BD20E5"/>
    <w:rsid w:val="00BD245F"/>
    <w:rsid w:val="00BD2ED6"/>
    <w:rsid w:val="00BD328F"/>
    <w:rsid w:val="00BD32A6"/>
    <w:rsid w:val="00BD3893"/>
    <w:rsid w:val="00BD4882"/>
    <w:rsid w:val="00BD5377"/>
    <w:rsid w:val="00BD5646"/>
    <w:rsid w:val="00BD5AC8"/>
    <w:rsid w:val="00BD5F0F"/>
    <w:rsid w:val="00BD5F93"/>
    <w:rsid w:val="00BD7916"/>
    <w:rsid w:val="00BD7A70"/>
    <w:rsid w:val="00BD7DDD"/>
    <w:rsid w:val="00BE05F6"/>
    <w:rsid w:val="00BE0D05"/>
    <w:rsid w:val="00BE1079"/>
    <w:rsid w:val="00BE1161"/>
    <w:rsid w:val="00BE1375"/>
    <w:rsid w:val="00BE17B3"/>
    <w:rsid w:val="00BE1995"/>
    <w:rsid w:val="00BE1A33"/>
    <w:rsid w:val="00BE1A7C"/>
    <w:rsid w:val="00BE1EF8"/>
    <w:rsid w:val="00BE2331"/>
    <w:rsid w:val="00BE25A8"/>
    <w:rsid w:val="00BE4A53"/>
    <w:rsid w:val="00BE4AC8"/>
    <w:rsid w:val="00BE5415"/>
    <w:rsid w:val="00BE5AEC"/>
    <w:rsid w:val="00BE5E2E"/>
    <w:rsid w:val="00BE663B"/>
    <w:rsid w:val="00BE6830"/>
    <w:rsid w:val="00BE6FC0"/>
    <w:rsid w:val="00BE7252"/>
    <w:rsid w:val="00BE7494"/>
    <w:rsid w:val="00BE75BB"/>
    <w:rsid w:val="00BE7850"/>
    <w:rsid w:val="00BE793D"/>
    <w:rsid w:val="00BF02C4"/>
    <w:rsid w:val="00BF0652"/>
    <w:rsid w:val="00BF096F"/>
    <w:rsid w:val="00BF0BD4"/>
    <w:rsid w:val="00BF0EDE"/>
    <w:rsid w:val="00BF126C"/>
    <w:rsid w:val="00BF182D"/>
    <w:rsid w:val="00BF1F81"/>
    <w:rsid w:val="00BF28D0"/>
    <w:rsid w:val="00BF2929"/>
    <w:rsid w:val="00BF2CAD"/>
    <w:rsid w:val="00BF3328"/>
    <w:rsid w:val="00BF358B"/>
    <w:rsid w:val="00BF375D"/>
    <w:rsid w:val="00BF38A7"/>
    <w:rsid w:val="00BF39D8"/>
    <w:rsid w:val="00BF3B7E"/>
    <w:rsid w:val="00BF3CE7"/>
    <w:rsid w:val="00BF4921"/>
    <w:rsid w:val="00BF5149"/>
    <w:rsid w:val="00BF5CCB"/>
    <w:rsid w:val="00BF5F4F"/>
    <w:rsid w:val="00BF60F5"/>
    <w:rsid w:val="00BF614B"/>
    <w:rsid w:val="00C004D4"/>
    <w:rsid w:val="00C012B1"/>
    <w:rsid w:val="00C01B77"/>
    <w:rsid w:val="00C01D8A"/>
    <w:rsid w:val="00C02190"/>
    <w:rsid w:val="00C0330F"/>
    <w:rsid w:val="00C03565"/>
    <w:rsid w:val="00C03581"/>
    <w:rsid w:val="00C046E6"/>
    <w:rsid w:val="00C04CB8"/>
    <w:rsid w:val="00C05DD9"/>
    <w:rsid w:val="00C05EC6"/>
    <w:rsid w:val="00C06B17"/>
    <w:rsid w:val="00C06D74"/>
    <w:rsid w:val="00C07824"/>
    <w:rsid w:val="00C106A5"/>
    <w:rsid w:val="00C10704"/>
    <w:rsid w:val="00C116F1"/>
    <w:rsid w:val="00C11882"/>
    <w:rsid w:val="00C11A4B"/>
    <w:rsid w:val="00C11B46"/>
    <w:rsid w:val="00C11D57"/>
    <w:rsid w:val="00C129CC"/>
    <w:rsid w:val="00C12A29"/>
    <w:rsid w:val="00C12C9B"/>
    <w:rsid w:val="00C12FD9"/>
    <w:rsid w:val="00C1344A"/>
    <w:rsid w:val="00C14924"/>
    <w:rsid w:val="00C1507A"/>
    <w:rsid w:val="00C150CF"/>
    <w:rsid w:val="00C16197"/>
    <w:rsid w:val="00C167D3"/>
    <w:rsid w:val="00C17B4D"/>
    <w:rsid w:val="00C17FCD"/>
    <w:rsid w:val="00C20BFA"/>
    <w:rsid w:val="00C20D6E"/>
    <w:rsid w:val="00C20ED0"/>
    <w:rsid w:val="00C2271A"/>
    <w:rsid w:val="00C2289F"/>
    <w:rsid w:val="00C24D77"/>
    <w:rsid w:val="00C253A2"/>
    <w:rsid w:val="00C26267"/>
    <w:rsid w:val="00C305FF"/>
    <w:rsid w:val="00C307AE"/>
    <w:rsid w:val="00C313A5"/>
    <w:rsid w:val="00C32076"/>
    <w:rsid w:val="00C32D79"/>
    <w:rsid w:val="00C33678"/>
    <w:rsid w:val="00C33D56"/>
    <w:rsid w:val="00C342D6"/>
    <w:rsid w:val="00C34E77"/>
    <w:rsid w:val="00C35679"/>
    <w:rsid w:val="00C35DB8"/>
    <w:rsid w:val="00C3627A"/>
    <w:rsid w:val="00C3642B"/>
    <w:rsid w:val="00C36C7B"/>
    <w:rsid w:val="00C372DD"/>
    <w:rsid w:val="00C37A5E"/>
    <w:rsid w:val="00C401FE"/>
    <w:rsid w:val="00C4050C"/>
    <w:rsid w:val="00C408C3"/>
    <w:rsid w:val="00C40BCB"/>
    <w:rsid w:val="00C40C77"/>
    <w:rsid w:val="00C411AC"/>
    <w:rsid w:val="00C41549"/>
    <w:rsid w:val="00C4178E"/>
    <w:rsid w:val="00C420B9"/>
    <w:rsid w:val="00C42457"/>
    <w:rsid w:val="00C42CCF"/>
    <w:rsid w:val="00C42F54"/>
    <w:rsid w:val="00C43023"/>
    <w:rsid w:val="00C43F24"/>
    <w:rsid w:val="00C44AD3"/>
    <w:rsid w:val="00C45018"/>
    <w:rsid w:val="00C45357"/>
    <w:rsid w:val="00C45749"/>
    <w:rsid w:val="00C45760"/>
    <w:rsid w:val="00C4580C"/>
    <w:rsid w:val="00C464B8"/>
    <w:rsid w:val="00C465B4"/>
    <w:rsid w:val="00C46658"/>
    <w:rsid w:val="00C46B1E"/>
    <w:rsid w:val="00C47B01"/>
    <w:rsid w:val="00C47BCD"/>
    <w:rsid w:val="00C508EB"/>
    <w:rsid w:val="00C50D85"/>
    <w:rsid w:val="00C512E1"/>
    <w:rsid w:val="00C51809"/>
    <w:rsid w:val="00C524A4"/>
    <w:rsid w:val="00C52883"/>
    <w:rsid w:val="00C52C8E"/>
    <w:rsid w:val="00C53562"/>
    <w:rsid w:val="00C541CC"/>
    <w:rsid w:val="00C54394"/>
    <w:rsid w:val="00C547FD"/>
    <w:rsid w:val="00C54CA1"/>
    <w:rsid w:val="00C55385"/>
    <w:rsid w:val="00C55440"/>
    <w:rsid w:val="00C5553E"/>
    <w:rsid w:val="00C56C6C"/>
    <w:rsid w:val="00C575D9"/>
    <w:rsid w:val="00C57C76"/>
    <w:rsid w:val="00C61BD9"/>
    <w:rsid w:val="00C61FF5"/>
    <w:rsid w:val="00C6285E"/>
    <w:rsid w:val="00C62911"/>
    <w:rsid w:val="00C63718"/>
    <w:rsid w:val="00C63DD5"/>
    <w:rsid w:val="00C640F3"/>
    <w:rsid w:val="00C64114"/>
    <w:rsid w:val="00C6493A"/>
    <w:rsid w:val="00C64D75"/>
    <w:rsid w:val="00C6532A"/>
    <w:rsid w:val="00C655CC"/>
    <w:rsid w:val="00C65C1F"/>
    <w:rsid w:val="00C6635D"/>
    <w:rsid w:val="00C6706B"/>
    <w:rsid w:val="00C67A60"/>
    <w:rsid w:val="00C67E8D"/>
    <w:rsid w:val="00C67FEC"/>
    <w:rsid w:val="00C70456"/>
    <w:rsid w:val="00C7050D"/>
    <w:rsid w:val="00C711B3"/>
    <w:rsid w:val="00C7140B"/>
    <w:rsid w:val="00C7164A"/>
    <w:rsid w:val="00C71835"/>
    <w:rsid w:val="00C724AE"/>
    <w:rsid w:val="00C72AF5"/>
    <w:rsid w:val="00C72F55"/>
    <w:rsid w:val="00C73746"/>
    <w:rsid w:val="00C73773"/>
    <w:rsid w:val="00C74275"/>
    <w:rsid w:val="00C74BE2"/>
    <w:rsid w:val="00C7509B"/>
    <w:rsid w:val="00C75566"/>
    <w:rsid w:val="00C759A5"/>
    <w:rsid w:val="00C7786F"/>
    <w:rsid w:val="00C77ADF"/>
    <w:rsid w:val="00C77BF3"/>
    <w:rsid w:val="00C77C18"/>
    <w:rsid w:val="00C8004B"/>
    <w:rsid w:val="00C801AE"/>
    <w:rsid w:val="00C801F7"/>
    <w:rsid w:val="00C805B9"/>
    <w:rsid w:val="00C80A46"/>
    <w:rsid w:val="00C80A6E"/>
    <w:rsid w:val="00C8103A"/>
    <w:rsid w:val="00C82355"/>
    <w:rsid w:val="00C82610"/>
    <w:rsid w:val="00C8272F"/>
    <w:rsid w:val="00C83712"/>
    <w:rsid w:val="00C83A6D"/>
    <w:rsid w:val="00C83B8C"/>
    <w:rsid w:val="00C840FC"/>
    <w:rsid w:val="00C84320"/>
    <w:rsid w:val="00C84AE4"/>
    <w:rsid w:val="00C84BDD"/>
    <w:rsid w:val="00C85851"/>
    <w:rsid w:val="00C865E6"/>
    <w:rsid w:val="00C869BC"/>
    <w:rsid w:val="00C8705C"/>
    <w:rsid w:val="00C87539"/>
    <w:rsid w:val="00C876EA"/>
    <w:rsid w:val="00C87F42"/>
    <w:rsid w:val="00C90073"/>
    <w:rsid w:val="00C90896"/>
    <w:rsid w:val="00C91B7F"/>
    <w:rsid w:val="00C9220F"/>
    <w:rsid w:val="00C92261"/>
    <w:rsid w:val="00C924D8"/>
    <w:rsid w:val="00C928E8"/>
    <w:rsid w:val="00C9299C"/>
    <w:rsid w:val="00C92D6F"/>
    <w:rsid w:val="00C93C09"/>
    <w:rsid w:val="00C93CEB"/>
    <w:rsid w:val="00C93F39"/>
    <w:rsid w:val="00C9508A"/>
    <w:rsid w:val="00C9620B"/>
    <w:rsid w:val="00C96222"/>
    <w:rsid w:val="00C96412"/>
    <w:rsid w:val="00C967BA"/>
    <w:rsid w:val="00C968DB"/>
    <w:rsid w:val="00C96E3E"/>
    <w:rsid w:val="00C97F68"/>
    <w:rsid w:val="00CA02A5"/>
    <w:rsid w:val="00CA21C3"/>
    <w:rsid w:val="00CA273C"/>
    <w:rsid w:val="00CA47FB"/>
    <w:rsid w:val="00CA4A93"/>
    <w:rsid w:val="00CA5548"/>
    <w:rsid w:val="00CA5767"/>
    <w:rsid w:val="00CA5AFF"/>
    <w:rsid w:val="00CA61C5"/>
    <w:rsid w:val="00CA6435"/>
    <w:rsid w:val="00CA6831"/>
    <w:rsid w:val="00CA6C95"/>
    <w:rsid w:val="00CA6FB2"/>
    <w:rsid w:val="00CA7F4E"/>
    <w:rsid w:val="00CB0236"/>
    <w:rsid w:val="00CB0A64"/>
    <w:rsid w:val="00CB0C3E"/>
    <w:rsid w:val="00CB1527"/>
    <w:rsid w:val="00CB15E2"/>
    <w:rsid w:val="00CB1609"/>
    <w:rsid w:val="00CB1C74"/>
    <w:rsid w:val="00CB1E25"/>
    <w:rsid w:val="00CB2AA9"/>
    <w:rsid w:val="00CB3027"/>
    <w:rsid w:val="00CB307E"/>
    <w:rsid w:val="00CB448A"/>
    <w:rsid w:val="00CB54FE"/>
    <w:rsid w:val="00CB5534"/>
    <w:rsid w:val="00CB56E0"/>
    <w:rsid w:val="00CB5EAB"/>
    <w:rsid w:val="00CB6894"/>
    <w:rsid w:val="00CB6E99"/>
    <w:rsid w:val="00CB6F00"/>
    <w:rsid w:val="00CB7340"/>
    <w:rsid w:val="00CB7562"/>
    <w:rsid w:val="00CB7A6E"/>
    <w:rsid w:val="00CB7E89"/>
    <w:rsid w:val="00CB7F4D"/>
    <w:rsid w:val="00CC0063"/>
    <w:rsid w:val="00CC00F0"/>
    <w:rsid w:val="00CC0310"/>
    <w:rsid w:val="00CC0BE1"/>
    <w:rsid w:val="00CC1236"/>
    <w:rsid w:val="00CC1720"/>
    <w:rsid w:val="00CC1AE1"/>
    <w:rsid w:val="00CC20AB"/>
    <w:rsid w:val="00CC2568"/>
    <w:rsid w:val="00CC25D5"/>
    <w:rsid w:val="00CC29E9"/>
    <w:rsid w:val="00CC2A87"/>
    <w:rsid w:val="00CC30A9"/>
    <w:rsid w:val="00CC3504"/>
    <w:rsid w:val="00CC52CD"/>
    <w:rsid w:val="00CC620D"/>
    <w:rsid w:val="00CC64FB"/>
    <w:rsid w:val="00CC6514"/>
    <w:rsid w:val="00CC6F90"/>
    <w:rsid w:val="00CC79D1"/>
    <w:rsid w:val="00CC7B63"/>
    <w:rsid w:val="00CD051B"/>
    <w:rsid w:val="00CD0581"/>
    <w:rsid w:val="00CD1196"/>
    <w:rsid w:val="00CD14BE"/>
    <w:rsid w:val="00CD15DF"/>
    <w:rsid w:val="00CD1BC4"/>
    <w:rsid w:val="00CD2046"/>
    <w:rsid w:val="00CD2806"/>
    <w:rsid w:val="00CD2D08"/>
    <w:rsid w:val="00CD383E"/>
    <w:rsid w:val="00CD390A"/>
    <w:rsid w:val="00CD3C90"/>
    <w:rsid w:val="00CD3D89"/>
    <w:rsid w:val="00CD47D0"/>
    <w:rsid w:val="00CD56B1"/>
    <w:rsid w:val="00CD5E4C"/>
    <w:rsid w:val="00CD7393"/>
    <w:rsid w:val="00CE1970"/>
    <w:rsid w:val="00CE1F2B"/>
    <w:rsid w:val="00CE28F5"/>
    <w:rsid w:val="00CE2A9E"/>
    <w:rsid w:val="00CE2D83"/>
    <w:rsid w:val="00CE2E4C"/>
    <w:rsid w:val="00CE2EF1"/>
    <w:rsid w:val="00CE3020"/>
    <w:rsid w:val="00CE3313"/>
    <w:rsid w:val="00CE3722"/>
    <w:rsid w:val="00CE450F"/>
    <w:rsid w:val="00CE4AE0"/>
    <w:rsid w:val="00CE5D89"/>
    <w:rsid w:val="00CE603A"/>
    <w:rsid w:val="00CE6402"/>
    <w:rsid w:val="00CE66C3"/>
    <w:rsid w:val="00CE6796"/>
    <w:rsid w:val="00CE7971"/>
    <w:rsid w:val="00CF0C86"/>
    <w:rsid w:val="00CF188A"/>
    <w:rsid w:val="00CF1D04"/>
    <w:rsid w:val="00CF1D0D"/>
    <w:rsid w:val="00CF243B"/>
    <w:rsid w:val="00CF289B"/>
    <w:rsid w:val="00CF325F"/>
    <w:rsid w:val="00CF3CCE"/>
    <w:rsid w:val="00CF3D14"/>
    <w:rsid w:val="00CF4228"/>
    <w:rsid w:val="00CF4AC9"/>
    <w:rsid w:val="00CF4DB6"/>
    <w:rsid w:val="00CF4DCF"/>
    <w:rsid w:val="00CF4F61"/>
    <w:rsid w:val="00CF55C3"/>
    <w:rsid w:val="00CF57EF"/>
    <w:rsid w:val="00CF5A8A"/>
    <w:rsid w:val="00CF6889"/>
    <w:rsid w:val="00CF72A7"/>
    <w:rsid w:val="00CF76EC"/>
    <w:rsid w:val="00CF7BE6"/>
    <w:rsid w:val="00D003E8"/>
    <w:rsid w:val="00D00849"/>
    <w:rsid w:val="00D00FBA"/>
    <w:rsid w:val="00D012BC"/>
    <w:rsid w:val="00D0134F"/>
    <w:rsid w:val="00D018B6"/>
    <w:rsid w:val="00D02173"/>
    <w:rsid w:val="00D024ED"/>
    <w:rsid w:val="00D02B4F"/>
    <w:rsid w:val="00D04082"/>
    <w:rsid w:val="00D048AC"/>
    <w:rsid w:val="00D0520E"/>
    <w:rsid w:val="00D05C81"/>
    <w:rsid w:val="00D05CD9"/>
    <w:rsid w:val="00D06F44"/>
    <w:rsid w:val="00D07203"/>
    <w:rsid w:val="00D077E2"/>
    <w:rsid w:val="00D104AF"/>
    <w:rsid w:val="00D1052C"/>
    <w:rsid w:val="00D1067E"/>
    <w:rsid w:val="00D114FA"/>
    <w:rsid w:val="00D1177D"/>
    <w:rsid w:val="00D12000"/>
    <w:rsid w:val="00D1262C"/>
    <w:rsid w:val="00D1306A"/>
    <w:rsid w:val="00D1309E"/>
    <w:rsid w:val="00D1319F"/>
    <w:rsid w:val="00D132DD"/>
    <w:rsid w:val="00D139DA"/>
    <w:rsid w:val="00D146BF"/>
    <w:rsid w:val="00D14C76"/>
    <w:rsid w:val="00D14DBF"/>
    <w:rsid w:val="00D1661C"/>
    <w:rsid w:val="00D16A6F"/>
    <w:rsid w:val="00D16A87"/>
    <w:rsid w:val="00D16DE8"/>
    <w:rsid w:val="00D1710A"/>
    <w:rsid w:val="00D1727A"/>
    <w:rsid w:val="00D17788"/>
    <w:rsid w:val="00D1787C"/>
    <w:rsid w:val="00D2003F"/>
    <w:rsid w:val="00D20747"/>
    <w:rsid w:val="00D2139C"/>
    <w:rsid w:val="00D225D8"/>
    <w:rsid w:val="00D23020"/>
    <w:rsid w:val="00D2366D"/>
    <w:rsid w:val="00D2378E"/>
    <w:rsid w:val="00D23D6E"/>
    <w:rsid w:val="00D24496"/>
    <w:rsid w:val="00D2450B"/>
    <w:rsid w:val="00D247B8"/>
    <w:rsid w:val="00D24AD4"/>
    <w:rsid w:val="00D24AD8"/>
    <w:rsid w:val="00D24C99"/>
    <w:rsid w:val="00D2512E"/>
    <w:rsid w:val="00D2551B"/>
    <w:rsid w:val="00D2558A"/>
    <w:rsid w:val="00D258CD"/>
    <w:rsid w:val="00D264F1"/>
    <w:rsid w:val="00D26653"/>
    <w:rsid w:val="00D26765"/>
    <w:rsid w:val="00D26B30"/>
    <w:rsid w:val="00D26D19"/>
    <w:rsid w:val="00D26F84"/>
    <w:rsid w:val="00D277D4"/>
    <w:rsid w:val="00D2789A"/>
    <w:rsid w:val="00D27AD8"/>
    <w:rsid w:val="00D27CE7"/>
    <w:rsid w:val="00D31148"/>
    <w:rsid w:val="00D31321"/>
    <w:rsid w:val="00D315D8"/>
    <w:rsid w:val="00D32C29"/>
    <w:rsid w:val="00D32D61"/>
    <w:rsid w:val="00D32ECE"/>
    <w:rsid w:val="00D32EE2"/>
    <w:rsid w:val="00D3356A"/>
    <w:rsid w:val="00D354A0"/>
    <w:rsid w:val="00D355B2"/>
    <w:rsid w:val="00D35720"/>
    <w:rsid w:val="00D35CA5"/>
    <w:rsid w:val="00D36A36"/>
    <w:rsid w:val="00D36D5C"/>
    <w:rsid w:val="00D3727B"/>
    <w:rsid w:val="00D373AF"/>
    <w:rsid w:val="00D37F40"/>
    <w:rsid w:val="00D40325"/>
    <w:rsid w:val="00D40661"/>
    <w:rsid w:val="00D4135E"/>
    <w:rsid w:val="00D417E3"/>
    <w:rsid w:val="00D418B3"/>
    <w:rsid w:val="00D41AC3"/>
    <w:rsid w:val="00D41B90"/>
    <w:rsid w:val="00D41F00"/>
    <w:rsid w:val="00D42A0B"/>
    <w:rsid w:val="00D42A4E"/>
    <w:rsid w:val="00D42A8A"/>
    <w:rsid w:val="00D43604"/>
    <w:rsid w:val="00D439FF"/>
    <w:rsid w:val="00D43C25"/>
    <w:rsid w:val="00D44391"/>
    <w:rsid w:val="00D44D8E"/>
    <w:rsid w:val="00D4686D"/>
    <w:rsid w:val="00D50282"/>
    <w:rsid w:val="00D5035F"/>
    <w:rsid w:val="00D50542"/>
    <w:rsid w:val="00D507FF"/>
    <w:rsid w:val="00D50AD7"/>
    <w:rsid w:val="00D512A2"/>
    <w:rsid w:val="00D516FD"/>
    <w:rsid w:val="00D51D50"/>
    <w:rsid w:val="00D52412"/>
    <w:rsid w:val="00D53395"/>
    <w:rsid w:val="00D536A9"/>
    <w:rsid w:val="00D53CF9"/>
    <w:rsid w:val="00D53E79"/>
    <w:rsid w:val="00D546FF"/>
    <w:rsid w:val="00D54996"/>
    <w:rsid w:val="00D54C82"/>
    <w:rsid w:val="00D54D85"/>
    <w:rsid w:val="00D55550"/>
    <w:rsid w:val="00D55612"/>
    <w:rsid w:val="00D55938"/>
    <w:rsid w:val="00D55B39"/>
    <w:rsid w:val="00D57581"/>
    <w:rsid w:val="00D57DE6"/>
    <w:rsid w:val="00D57E79"/>
    <w:rsid w:val="00D57EDC"/>
    <w:rsid w:val="00D600D4"/>
    <w:rsid w:val="00D60D81"/>
    <w:rsid w:val="00D610A3"/>
    <w:rsid w:val="00D613F5"/>
    <w:rsid w:val="00D61A73"/>
    <w:rsid w:val="00D61EE3"/>
    <w:rsid w:val="00D621E4"/>
    <w:rsid w:val="00D62244"/>
    <w:rsid w:val="00D62388"/>
    <w:rsid w:val="00D62A52"/>
    <w:rsid w:val="00D62C21"/>
    <w:rsid w:val="00D633FA"/>
    <w:rsid w:val="00D63ABF"/>
    <w:rsid w:val="00D63BCB"/>
    <w:rsid w:val="00D63FA1"/>
    <w:rsid w:val="00D641DC"/>
    <w:rsid w:val="00D64FE6"/>
    <w:rsid w:val="00D65A27"/>
    <w:rsid w:val="00D660D6"/>
    <w:rsid w:val="00D66D64"/>
    <w:rsid w:val="00D66E6E"/>
    <w:rsid w:val="00D66E79"/>
    <w:rsid w:val="00D67312"/>
    <w:rsid w:val="00D67D8D"/>
    <w:rsid w:val="00D67EFE"/>
    <w:rsid w:val="00D70074"/>
    <w:rsid w:val="00D70C26"/>
    <w:rsid w:val="00D70C57"/>
    <w:rsid w:val="00D71F77"/>
    <w:rsid w:val="00D71FEF"/>
    <w:rsid w:val="00D72C21"/>
    <w:rsid w:val="00D72D22"/>
    <w:rsid w:val="00D732A1"/>
    <w:rsid w:val="00D73537"/>
    <w:rsid w:val="00D73860"/>
    <w:rsid w:val="00D73BAE"/>
    <w:rsid w:val="00D73DB0"/>
    <w:rsid w:val="00D73DD1"/>
    <w:rsid w:val="00D73F27"/>
    <w:rsid w:val="00D744CC"/>
    <w:rsid w:val="00D74F80"/>
    <w:rsid w:val="00D75110"/>
    <w:rsid w:val="00D76760"/>
    <w:rsid w:val="00D770F4"/>
    <w:rsid w:val="00D77581"/>
    <w:rsid w:val="00D7779B"/>
    <w:rsid w:val="00D77967"/>
    <w:rsid w:val="00D77A4D"/>
    <w:rsid w:val="00D8036E"/>
    <w:rsid w:val="00D80385"/>
    <w:rsid w:val="00D80AC6"/>
    <w:rsid w:val="00D81577"/>
    <w:rsid w:val="00D81831"/>
    <w:rsid w:val="00D8229F"/>
    <w:rsid w:val="00D8233E"/>
    <w:rsid w:val="00D8264D"/>
    <w:rsid w:val="00D826FB"/>
    <w:rsid w:val="00D84073"/>
    <w:rsid w:val="00D84084"/>
    <w:rsid w:val="00D840EF"/>
    <w:rsid w:val="00D848BA"/>
    <w:rsid w:val="00D850B1"/>
    <w:rsid w:val="00D850FA"/>
    <w:rsid w:val="00D85E4D"/>
    <w:rsid w:val="00D866B4"/>
    <w:rsid w:val="00D86B68"/>
    <w:rsid w:val="00D8728C"/>
    <w:rsid w:val="00D876B8"/>
    <w:rsid w:val="00D87C23"/>
    <w:rsid w:val="00D87DE5"/>
    <w:rsid w:val="00D903E2"/>
    <w:rsid w:val="00D904C2"/>
    <w:rsid w:val="00D911F4"/>
    <w:rsid w:val="00D917F4"/>
    <w:rsid w:val="00D91C6E"/>
    <w:rsid w:val="00D922CD"/>
    <w:rsid w:val="00D928EE"/>
    <w:rsid w:val="00D92BF9"/>
    <w:rsid w:val="00D93108"/>
    <w:rsid w:val="00D933CD"/>
    <w:rsid w:val="00D9402B"/>
    <w:rsid w:val="00D94170"/>
    <w:rsid w:val="00D943C7"/>
    <w:rsid w:val="00D94655"/>
    <w:rsid w:val="00D94B8D"/>
    <w:rsid w:val="00D94D12"/>
    <w:rsid w:val="00D9542D"/>
    <w:rsid w:val="00D959AA"/>
    <w:rsid w:val="00D95A93"/>
    <w:rsid w:val="00D95C94"/>
    <w:rsid w:val="00D963CB"/>
    <w:rsid w:val="00D96565"/>
    <w:rsid w:val="00D96C2D"/>
    <w:rsid w:val="00D971D9"/>
    <w:rsid w:val="00D97F90"/>
    <w:rsid w:val="00DA123B"/>
    <w:rsid w:val="00DA1B7C"/>
    <w:rsid w:val="00DA279D"/>
    <w:rsid w:val="00DA28FC"/>
    <w:rsid w:val="00DA387B"/>
    <w:rsid w:val="00DA3A05"/>
    <w:rsid w:val="00DA4F94"/>
    <w:rsid w:val="00DA508B"/>
    <w:rsid w:val="00DA5789"/>
    <w:rsid w:val="00DA62CC"/>
    <w:rsid w:val="00DA6351"/>
    <w:rsid w:val="00DA653C"/>
    <w:rsid w:val="00DA66AB"/>
    <w:rsid w:val="00DA67EA"/>
    <w:rsid w:val="00DA693D"/>
    <w:rsid w:val="00DA7396"/>
    <w:rsid w:val="00DA7936"/>
    <w:rsid w:val="00DB1371"/>
    <w:rsid w:val="00DB18D9"/>
    <w:rsid w:val="00DB19B9"/>
    <w:rsid w:val="00DB1B34"/>
    <w:rsid w:val="00DB2064"/>
    <w:rsid w:val="00DB2071"/>
    <w:rsid w:val="00DB27D1"/>
    <w:rsid w:val="00DB2B59"/>
    <w:rsid w:val="00DB2D55"/>
    <w:rsid w:val="00DB3388"/>
    <w:rsid w:val="00DB456B"/>
    <w:rsid w:val="00DB46DE"/>
    <w:rsid w:val="00DB49DC"/>
    <w:rsid w:val="00DB52E2"/>
    <w:rsid w:val="00DB53F3"/>
    <w:rsid w:val="00DB5DB4"/>
    <w:rsid w:val="00DB6665"/>
    <w:rsid w:val="00DB67A0"/>
    <w:rsid w:val="00DB6D21"/>
    <w:rsid w:val="00DB6E2D"/>
    <w:rsid w:val="00DB7065"/>
    <w:rsid w:val="00DC0418"/>
    <w:rsid w:val="00DC068F"/>
    <w:rsid w:val="00DC1AB5"/>
    <w:rsid w:val="00DC1EF6"/>
    <w:rsid w:val="00DC231C"/>
    <w:rsid w:val="00DC234E"/>
    <w:rsid w:val="00DC23BD"/>
    <w:rsid w:val="00DC27BB"/>
    <w:rsid w:val="00DC2833"/>
    <w:rsid w:val="00DC2F1D"/>
    <w:rsid w:val="00DC3202"/>
    <w:rsid w:val="00DC3710"/>
    <w:rsid w:val="00DC3E60"/>
    <w:rsid w:val="00DC4A51"/>
    <w:rsid w:val="00DC4EE3"/>
    <w:rsid w:val="00DC5A5A"/>
    <w:rsid w:val="00DC6280"/>
    <w:rsid w:val="00DC695B"/>
    <w:rsid w:val="00DC7168"/>
    <w:rsid w:val="00DC75D1"/>
    <w:rsid w:val="00DC7D72"/>
    <w:rsid w:val="00DD0145"/>
    <w:rsid w:val="00DD028E"/>
    <w:rsid w:val="00DD0CE0"/>
    <w:rsid w:val="00DD1079"/>
    <w:rsid w:val="00DD1C78"/>
    <w:rsid w:val="00DD25CD"/>
    <w:rsid w:val="00DD25D3"/>
    <w:rsid w:val="00DD2D65"/>
    <w:rsid w:val="00DD2F2B"/>
    <w:rsid w:val="00DD30BB"/>
    <w:rsid w:val="00DD30E9"/>
    <w:rsid w:val="00DD3474"/>
    <w:rsid w:val="00DD4703"/>
    <w:rsid w:val="00DD4DF1"/>
    <w:rsid w:val="00DD4EA2"/>
    <w:rsid w:val="00DD5531"/>
    <w:rsid w:val="00DD5E98"/>
    <w:rsid w:val="00DD60E1"/>
    <w:rsid w:val="00DD62C3"/>
    <w:rsid w:val="00DD68E2"/>
    <w:rsid w:val="00DD748A"/>
    <w:rsid w:val="00DD765E"/>
    <w:rsid w:val="00DE02F9"/>
    <w:rsid w:val="00DE1A14"/>
    <w:rsid w:val="00DE1B25"/>
    <w:rsid w:val="00DE2496"/>
    <w:rsid w:val="00DE304B"/>
    <w:rsid w:val="00DE3673"/>
    <w:rsid w:val="00DE37CC"/>
    <w:rsid w:val="00DE3B32"/>
    <w:rsid w:val="00DE3FC6"/>
    <w:rsid w:val="00DE44FE"/>
    <w:rsid w:val="00DE487E"/>
    <w:rsid w:val="00DE53BF"/>
    <w:rsid w:val="00DE5AEB"/>
    <w:rsid w:val="00DE602D"/>
    <w:rsid w:val="00DE7FBD"/>
    <w:rsid w:val="00DF0E34"/>
    <w:rsid w:val="00DF0F6B"/>
    <w:rsid w:val="00DF11E0"/>
    <w:rsid w:val="00DF1971"/>
    <w:rsid w:val="00DF27B4"/>
    <w:rsid w:val="00DF2B69"/>
    <w:rsid w:val="00DF330D"/>
    <w:rsid w:val="00DF4461"/>
    <w:rsid w:val="00DF4566"/>
    <w:rsid w:val="00DF4DAA"/>
    <w:rsid w:val="00DF52A6"/>
    <w:rsid w:val="00DF584D"/>
    <w:rsid w:val="00DF65FB"/>
    <w:rsid w:val="00DF6608"/>
    <w:rsid w:val="00DF67FA"/>
    <w:rsid w:val="00DF68D2"/>
    <w:rsid w:val="00DF6D49"/>
    <w:rsid w:val="00DF74BC"/>
    <w:rsid w:val="00DF74FB"/>
    <w:rsid w:val="00DF7C0A"/>
    <w:rsid w:val="00E00773"/>
    <w:rsid w:val="00E007A0"/>
    <w:rsid w:val="00E00F11"/>
    <w:rsid w:val="00E02CD0"/>
    <w:rsid w:val="00E02E6E"/>
    <w:rsid w:val="00E02FDE"/>
    <w:rsid w:val="00E037D6"/>
    <w:rsid w:val="00E04360"/>
    <w:rsid w:val="00E045D9"/>
    <w:rsid w:val="00E05337"/>
    <w:rsid w:val="00E058B8"/>
    <w:rsid w:val="00E05D33"/>
    <w:rsid w:val="00E06638"/>
    <w:rsid w:val="00E068DC"/>
    <w:rsid w:val="00E06C12"/>
    <w:rsid w:val="00E0743E"/>
    <w:rsid w:val="00E07607"/>
    <w:rsid w:val="00E100D2"/>
    <w:rsid w:val="00E10475"/>
    <w:rsid w:val="00E105B6"/>
    <w:rsid w:val="00E10F15"/>
    <w:rsid w:val="00E11ABB"/>
    <w:rsid w:val="00E121AB"/>
    <w:rsid w:val="00E12527"/>
    <w:rsid w:val="00E13A1A"/>
    <w:rsid w:val="00E13EEB"/>
    <w:rsid w:val="00E14263"/>
    <w:rsid w:val="00E147C0"/>
    <w:rsid w:val="00E155E3"/>
    <w:rsid w:val="00E15F5E"/>
    <w:rsid w:val="00E177F5"/>
    <w:rsid w:val="00E20AF0"/>
    <w:rsid w:val="00E2176E"/>
    <w:rsid w:val="00E21997"/>
    <w:rsid w:val="00E21DAD"/>
    <w:rsid w:val="00E2213D"/>
    <w:rsid w:val="00E22273"/>
    <w:rsid w:val="00E22292"/>
    <w:rsid w:val="00E2347C"/>
    <w:rsid w:val="00E24461"/>
    <w:rsid w:val="00E246C5"/>
    <w:rsid w:val="00E25E23"/>
    <w:rsid w:val="00E26DFB"/>
    <w:rsid w:val="00E27C70"/>
    <w:rsid w:val="00E302C3"/>
    <w:rsid w:val="00E306DC"/>
    <w:rsid w:val="00E308EB"/>
    <w:rsid w:val="00E30A29"/>
    <w:rsid w:val="00E30BAB"/>
    <w:rsid w:val="00E31E3E"/>
    <w:rsid w:val="00E31E98"/>
    <w:rsid w:val="00E31F82"/>
    <w:rsid w:val="00E31FED"/>
    <w:rsid w:val="00E32AE3"/>
    <w:rsid w:val="00E330BD"/>
    <w:rsid w:val="00E3311B"/>
    <w:rsid w:val="00E33E01"/>
    <w:rsid w:val="00E33F54"/>
    <w:rsid w:val="00E34A23"/>
    <w:rsid w:val="00E350AC"/>
    <w:rsid w:val="00E354ED"/>
    <w:rsid w:val="00E35E39"/>
    <w:rsid w:val="00E367E6"/>
    <w:rsid w:val="00E36F6E"/>
    <w:rsid w:val="00E37027"/>
    <w:rsid w:val="00E375B0"/>
    <w:rsid w:val="00E3784F"/>
    <w:rsid w:val="00E37903"/>
    <w:rsid w:val="00E37C72"/>
    <w:rsid w:val="00E37D5C"/>
    <w:rsid w:val="00E37F63"/>
    <w:rsid w:val="00E37FE9"/>
    <w:rsid w:val="00E40232"/>
    <w:rsid w:val="00E4081C"/>
    <w:rsid w:val="00E40A80"/>
    <w:rsid w:val="00E40D97"/>
    <w:rsid w:val="00E40DCD"/>
    <w:rsid w:val="00E40EAA"/>
    <w:rsid w:val="00E41858"/>
    <w:rsid w:val="00E42570"/>
    <w:rsid w:val="00E42A5E"/>
    <w:rsid w:val="00E43761"/>
    <w:rsid w:val="00E4392D"/>
    <w:rsid w:val="00E43AEF"/>
    <w:rsid w:val="00E444EB"/>
    <w:rsid w:val="00E44A90"/>
    <w:rsid w:val="00E44C15"/>
    <w:rsid w:val="00E45812"/>
    <w:rsid w:val="00E463B3"/>
    <w:rsid w:val="00E46445"/>
    <w:rsid w:val="00E473C9"/>
    <w:rsid w:val="00E50082"/>
    <w:rsid w:val="00E50A30"/>
    <w:rsid w:val="00E50FBF"/>
    <w:rsid w:val="00E51098"/>
    <w:rsid w:val="00E516AE"/>
    <w:rsid w:val="00E516C4"/>
    <w:rsid w:val="00E522FB"/>
    <w:rsid w:val="00E52D2E"/>
    <w:rsid w:val="00E53060"/>
    <w:rsid w:val="00E531D7"/>
    <w:rsid w:val="00E53B37"/>
    <w:rsid w:val="00E53C08"/>
    <w:rsid w:val="00E53D66"/>
    <w:rsid w:val="00E54BF8"/>
    <w:rsid w:val="00E54DC5"/>
    <w:rsid w:val="00E5523F"/>
    <w:rsid w:val="00E55A98"/>
    <w:rsid w:val="00E5680C"/>
    <w:rsid w:val="00E56B43"/>
    <w:rsid w:val="00E56DE8"/>
    <w:rsid w:val="00E56DEC"/>
    <w:rsid w:val="00E5700C"/>
    <w:rsid w:val="00E5786D"/>
    <w:rsid w:val="00E60E70"/>
    <w:rsid w:val="00E61074"/>
    <w:rsid w:val="00E61327"/>
    <w:rsid w:val="00E62306"/>
    <w:rsid w:val="00E6286E"/>
    <w:rsid w:val="00E62DEF"/>
    <w:rsid w:val="00E63076"/>
    <w:rsid w:val="00E6337B"/>
    <w:rsid w:val="00E6360E"/>
    <w:rsid w:val="00E63CF9"/>
    <w:rsid w:val="00E64724"/>
    <w:rsid w:val="00E649A9"/>
    <w:rsid w:val="00E6550F"/>
    <w:rsid w:val="00E6586B"/>
    <w:rsid w:val="00E65E34"/>
    <w:rsid w:val="00E65F17"/>
    <w:rsid w:val="00E662FF"/>
    <w:rsid w:val="00E663D5"/>
    <w:rsid w:val="00E66878"/>
    <w:rsid w:val="00E668FD"/>
    <w:rsid w:val="00E66BE6"/>
    <w:rsid w:val="00E67387"/>
    <w:rsid w:val="00E67CF9"/>
    <w:rsid w:val="00E70351"/>
    <w:rsid w:val="00E7060D"/>
    <w:rsid w:val="00E712F8"/>
    <w:rsid w:val="00E728E3"/>
    <w:rsid w:val="00E72C33"/>
    <w:rsid w:val="00E73681"/>
    <w:rsid w:val="00E7405D"/>
    <w:rsid w:val="00E75442"/>
    <w:rsid w:val="00E756E6"/>
    <w:rsid w:val="00E76433"/>
    <w:rsid w:val="00E7661D"/>
    <w:rsid w:val="00E76EB3"/>
    <w:rsid w:val="00E77556"/>
    <w:rsid w:val="00E77901"/>
    <w:rsid w:val="00E77E16"/>
    <w:rsid w:val="00E805D1"/>
    <w:rsid w:val="00E80636"/>
    <w:rsid w:val="00E80858"/>
    <w:rsid w:val="00E84EFE"/>
    <w:rsid w:val="00E84FF8"/>
    <w:rsid w:val="00E860CC"/>
    <w:rsid w:val="00E86920"/>
    <w:rsid w:val="00E86948"/>
    <w:rsid w:val="00E90332"/>
    <w:rsid w:val="00E90FDB"/>
    <w:rsid w:val="00E91492"/>
    <w:rsid w:val="00E915C0"/>
    <w:rsid w:val="00E91C4C"/>
    <w:rsid w:val="00E91E2A"/>
    <w:rsid w:val="00E920A4"/>
    <w:rsid w:val="00E92596"/>
    <w:rsid w:val="00E92D6D"/>
    <w:rsid w:val="00E933FC"/>
    <w:rsid w:val="00E9396F"/>
    <w:rsid w:val="00E93A09"/>
    <w:rsid w:val="00E93A40"/>
    <w:rsid w:val="00E93C22"/>
    <w:rsid w:val="00E93D26"/>
    <w:rsid w:val="00E93DDB"/>
    <w:rsid w:val="00E9400C"/>
    <w:rsid w:val="00E944F6"/>
    <w:rsid w:val="00E94CCD"/>
    <w:rsid w:val="00E94D42"/>
    <w:rsid w:val="00E94D77"/>
    <w:rsid w:val="00E94EE0"/>
    <w:rsid w:val="00E951FB"/>
    <w:rsid w:val="00E95381"/>
    <w:rsid w:val="00E95B4C"/>
    <w:rsid w:val="00E9643A"/>
    <w:rsid w:val="00E96632"/>
    <w:rsid w:val="00E967C6"/>
    <w:rsid w:val="00E96AE0"/>
    <w:rsid w:val="00E97313"/>
    <w:rsid w:val="00E97CCC"/>
    <w:rsid w:val="00EA0FE2"/>
    <w:rsid w:val="00EA1E0F"/>
    <w:rsid w:val="00EA216D"/>
    <w:rsid w:val="00EA2335"/>
    <w:rsid w:val="00EA26CD"/>
    <w:rsid w:val="00EA3601"/>
    <w:rsid w:val="00EA3B73"/>
    <w:rsid w:val="00EA3B87"/>
    <w:rsid w:val="00EA423D"/>
    <w:rsid w:val="00EA4A4E"/>
    <w:rsid w:val="00EA4C61"/>
    <w:rsid w:val="00EA59A9"/>
    <w:rsid w:val="00EA5F30"/>
    <w:rsid w:val="00EA621C"/>
    <w:rsid w:val="00EA704B"/>
    <w:rsid w:val="00EA7AFD"/>
    <w:rsid w:val="00EB02F0"/>
    <w:rsid w:val="00EB0333"/>
    <w:rsid w:val="00EB088E"/>
    <w:rsid w:val="00EB0921"/>
    <w:rsid w:val="00EB0A9A"/>
    <w:rsid w:val="00EB130E"/>
    <w:rsid w:val="00EB1A26"/>
    <w:rsid w:val="00EB1A42"/>
    <w:rsid w:val="00EB3018"/>
    <w:rsid w:val="00EB3218"/>
    <w:rsid w:val="00EB3465"/>
    <w:rsid w:val="00EB367A"/>
    <w:rsid w:val="00EB3779"/>
    <w:rsid w:val="00EB38ED"/>
    <w:rsid w:val="00EB3F9C"/>
    <w:rsid w:val="00EB419A"/>
    <w:rsid w:val="00EB4481"/>
    <w:rsid w:val="00EB5110"/>
    <w:rsid w:val="00EB54AA"/>
    <w:rsid w:val="00EB54E0"/>
    <w:rsid w:val="00EB5559"/>
    <w:rsid w:val="00EB588C"/>
    <w:rsid w:val="00EB5BB8"/>
    <w:rsid w:val="00EB5D2B"/>
    <w:rsid w:val="00EB6862"/>
    <w:rsid w:val="00EB6EA8"/>
    <w:rsid w:val="00EB7173"/>
    <w:rsid w:val="00EB72CE"/>
    <w:rsid w:val="00EB7DE4"/>
    <w:rsid w:val="00EC0070"/>
    <w:rsid w:val="00EC00FF"/>
    <w:rsid w:val="00EC0421"/>
    <w:rsid w:val="00EC070E"/>
    <w:rsid w:val="00EC0926"/>
    <w:rsid w:val="00EC1074"/>
    <w:rsid w:val="00EC13C9"/>
    <w:rsid w:val="00EC1666"/>
    <w:rsid w:val="00EC1A43"/>
    <w:rsid w:val="00EC1CB1"/>
    <w:rsid w:val="00EC1E09"/>
    <w:rsid w:val="00EC246E"/>
    <w:rsid w:val="00EC253C"/>
    <w:rsid w:val="00EC2F98"/>
    <w:rsid w:val="00EC30B7"/>
    <w:rsid w:val="00EC385B"/>
    <w:rsid w:val="00EC40D2"/>
    <w:rsid w:val="00EC4F20"/>
    <w:rsid w:val="00EC536C"/>
    <w:rsid w:val="00EC53E9"/>
    <w:rsid w:val="00EC5B98"/>
    <w:rsid w:val="00EC5EEA"/>
    <w:rsid w:val="00EC6558"/>
    <w:rsid w:val="00EC6B07"/>
    <w:rsid w:val="00EC6CC2"/>
    <w:rsid w:val="00EC7043"/>
    <w:rsid w:val="00EC758B"/>
    <w:rsid w:val="00EC77E7"/>
    <w:rsid w:val="00ED0535"/>
    <w:rsid w:val="00ED0C2E"/>
    <w:rsid w:val="00ED140D"/>
    <w:rsid w:val="00ED1A7D"/>
    <w:rsid w:val="00ED1B03"/>
    <w:rsid w:val="00ED2061"/>
    <w:rsid w:val="00ED2971"/>
    <w:rsid w:val="00ED2BD2"/>
    <w:rsid w:val="00ED2C52"/>
    <w:rsid w:val="00ED2E26"/>
    <w:rsid w:val="00ED33C5"/>
    <w:rsid w:val="00ED34E7"/>
    <w:rsid w:val="00ED3844"/>
    <w:rsid w:val="00ED5390"/>
    <w:rsid w:val="00ED5408"/>
    <w:rsid w:val="00ED5870"/>
    <w:rsid w:val="00ED603B"/>
    <w:rsid w:val="00ED65ED"/>
    <w:rsid w:val="00ED68D0"/>
    <w:rsid w:val="00ED6978"/>
    <w:rsid w:val="00ED6CB3"/>
    <w:rsid w:val="00ED71AE"/>
    <w:rsid w:val="00EE011E"/>
    <w:rsid w:val="00EE072D"/>
    <w:rsid w:val="00EE102C"/>
    <w:rsid w:val="00EE1237"/>
    <w:rsid w:val="00EE1899"/>
    <w:rsid w:val="00EE1C59"/>
    <w:rsid w:val="00EE1D5C"/>
    <w:rsid w:val="00EE2261"/>
    <w:rsid w:val="00EE3642"/>
    <w:rsid w:val="00EE36F6"/>
    <w:rsid w:val="00EE462B"/>
    <w:rsid w:val="00EE4BEC"/>
    <w:rsid w:val="00EE4F6C"/>
    <w:rsid w:val="00EE62B9"/>
    <w:rsid w:val="00EE6A97"/>
    <w:rsid w:val="00EE6DE1"/>
    <w:rsid w:val="00EE7EFF"/>
    <w:rsid w:val="00EE7FD7"/>
    <w:rsid w:val="00EF0A4E"/>
    <w:rsid w:val="00EF0E20"/>
    <w:rsid w:val="00EF1514"/>
    <w:rsid w:val="00EF1557"/>
    <w:rsid w:val="00EF1F20"/>
    <w:rsid w:val="00EF25EC"/>
    <w:rsid w:val="00EF2729"/>
    <w:rsid w:val="00EF2B52"/>
    <w:rsid w:val="00EF3A64"/>
    <w:rsid w:val="00EF3C4D"/>
    <w:rsid w:val="00EF4061"/>
    <w:rsid w:val="00EF4077"/>
    <w:rsid w:val="00EF4BEA"/>
    <w:rsid w:val="00EF5219"/>
    <w:rsid w:val="00EF5292"/>
    <w:rsid w:val="00EF5366"/>
    <w:rsid w:val="00EF65CB"/>
    <w:rsid w:val="00EF7033"/>
    <w:rsid w:val="00EF7AD2"/>
    <w:rsid w:val="00F00B4C"/>
    <w:rsid w:val="00F01335"/>
    <w:rsid w:val="00F01AD0"/>
    <w:rsid w:val="00F01C98"/>
    <w:rsid w:val="00F02265"/>
    <w:rsid w:val="00F025A4"/>
    <w:rsid w:val="00F02912"/>
    <w:rsid w:val="00F0292B"/>
    <w:rsid w:val="00F02A78"/>
    <w:rsid w:val="00F02EF6"/>
    <w:rsid w:val="00F048C3"/>
    <w:rsid w:val="00F04A91"/>
    <w:rsid w:val="00F04C1D"/>
    <w:rsid w:val="00F05596"/>
    <w:rsid w:val="00F05A0E"/>
    <w:rsid w:val="00F05DF3"/>
    <w:rsid w:val="00F061A8"/>
    <w:rsid w:val="00F07007"/>
    <w:rsid w:val="00F07267"/>
    <w:rsid w:val="00F07367"/>
    <w:rsid w:val="00F074EE"/>
    <w:rsid w:val="00F078EC"/>
    <w:rsid w:val="00F07D09"/>
    <w:rsid w:val="00F10173"/>
    <w:rsid w:val="00F102DF"/>
    <w:rsid w:val="00F11C71"/>
    <w:rsid w:val="00F122CE"/>
    <w:rsid w:val="00F123D6"/>
    <w:rsid w:val="00F12696"/>
    <w:rsid w:val="00F129B9"/>
    <w:rsid w:val="00F12DD3"/>
    <w:rsid w:val="00F13352"/>
    <w:rsid w:val="00F134A3"/>
    <w:rsid w:val="00F1360C"/>
    <w:rsid w:val="00F149E5"/>
    <w:rsid w:val="00F14CEF"/>
    <w:rsid w:val="00F14D25"/>
    <w:rsid w:val="00F14E2F"/>
    <w:rsid w:val="00F15C43"/>
    <w:rsid w:val="00F15E65"/>
    <w:rsid w:val="00F16C42"/>
    <w:rsid w:val="00F16CF4"/>
    <w:rsid w:val="00F20615"/>
    <w:rsid w:val="00F20FAC"/>
    <w:rsid w:val="00F21E08"/>
    <w:rsid w:val="00F222CF"/>
    <w:rsid w:val="00F2297F"/>
    <w:rsid w:val="00F230C3"/>
    <w:rsid w:val="00F234F4"/>
    <w:rsid w:val="00F244D4"/>
    <w:rsid w:val="00F2460A"/>
    <w:rsid w:val="00F24620"/>
    <w:rsid w:val="00F256F7"/>
    <w:rsid w:val="00F25B14"/>
    <w:rsid w:val="00F25F08"/>
    <w:rsid w:val="00F265D2"/>
    <w:rsid w:val="00F26DE9"/>
    <w:rsid w:val="00F27A02"/>
    <w:rsid w:val="00F27FC2"/>
    <w:rsid w:val="00F303A1"/>
    <w:rsid w:val="00F30BE4"/>
    <w:rsid w:val="00F3171B"/>
    <w:rsid w:val="00F317BC"/>
    <w:rsid w:val="00F3190C"/>
    <w:rsid w:val="00F31CE6"/>
    <w:rsid w:val="00F31F85"/>
    <w:rsid w:val="00F320E0"/>
    <w:rsid w:val="00F32E6C"/>
    <w:rsid w:val="00F332B7"/>
    <w:rsid w:val="00F335AE"/>
    <w:rsid w:val="00F3385A"/>
    <w:rsid w:val="00F338E0"/>
    <w:rsid w:val="00F34AFA"/>
    <w:rsid w:val="00F3503E"/>
    <w:rsid w:val="00F35278"/>
    <w:rsid w:val="00F3536D"/>
    <w:rsid w:val="00F354EC"/>
    <w:rsid w:val="00F35757"/>
    <w:rsid w:val="00F35899"/>
    <w:rsid w:val="00F35CAC"/>
    <w:rsid w:val="00F3600F"/>
    <w:rsid w:val="00F362ED"/>
    <w:rsid w:val="00F3631E"/>
    <w:rsid w:val="00F36565"/>
    <w:rsid w:val="00F36707"/>
    <w:rsid w:val="00F36A22"/>
    <w:rsid w:val="00F36BC6"/>
    <w:rsid w:val="00F37252"/>
    <w:rsid w:val="00F37480"/>
    <w:rsid w:val="00F3757C"/>
    <w:rsid w:val="00F37757"/>
    <w:rsid w:val="00F377E6"/>
    <w:rsid w:val="00F37AB3"/>
    <w:rsid w:val="00F37EB2"/>
    <w:rsid w:val="00F409C9"/>
    <w:rsid w:val="00F410C1"/>
    <w:rsid w:val="00F419C0"/>
    <w:rsid w:val="00F41C7C"/>
    <w:rsid w:val="00F41CDB"/>
    <w:rsid w:val="00F428F8"/>
    <w:rsid w:val="00F42E1D"/>
    <w:rsid w:val="00F4372B"/>
    <w:rsid w:val="00F43AD2"/>
    <w:rsid w:val="00F43EEA"/>
    <w:rsid w:val="00F44AFE"/>
    <w:rsid w:val="00F44CCB"/>
    <w:rsid w:val="00F45279"/>
    <w:rsid w:val="00F45358"/>
    <w:rsid w:val="00F457C1"/>
    <w:rsid w:val="00F45BE0"/>
    <w:rsid w:val="00F46244"/>
    <w:rsid w:val="00F47124"/>
    <w:rsid w:val="00F47589"/>
    <w:rsid w:val="00F47A23"/>
    <w:rsid w:val="00F47D58"/>
    <w:rsid w:val="00F47FFB"/>
    <w:rsid w:val="00F511EA"/>
    <w:rsid w:val="00F516AA"/>
    <w:rsid w:val="00F51810"/>
    <w:rsid w:val="00F51F13"/>
    <w:rsid w:val="00F51F16"/>
    <w:rsid w:val="00F52364"/>
    <w:rsid w:val="00F52B7B"/>
    <w:rsid w:val="00F541DC"/>
    <w:rsid w:val="00F5431A"/>
    <w:rsid w:val="00F54FE2"/>
    <w:rsid w:val="00F5576F"/>
    <w:rsid w:val="00F55DCB"/>
    <w:rsid w:val="00F56234"/>
    <w:rsid w:val="00F5666A"/>
    <w:rsid w:val="00F56793"/>
    <w:rsid w:val="00F56CE9"/>
    <w:rsid w:val="00F576EE"/>
    <w:rsid w:val="00F57B05"/>
    <w:rsid w:val="00F60157"/>
    <w:rsid w:val="00F601B7"/>
    <w:rsid w:val="00F603D3"/>
    <w:rsid w:val="00F6078B"/>
    <w:rsid w:val="00F61028"/>
    <w:rsid w:val="00F61371"/>
    <w:rsid w:val="00F61603"/>
    <w:rsid w:val="00F62F99"/>
    <w:rsid w:val="00F63384"/>
    <w:rsid w:val="00F6372A"/>
    <w:rsid w:val="00F6428D"/>
    <w:rsid w:val="00F648BA"/>
    <w:rsid w:val="00F65A24"/>
    <w:rsid w:val="00F65BB4"/>
    <w:rsid w:val="00F65FB0"/>
    <w:rsid w:val="00F668B2"/>
    <w:rsid w:val="00F66F8A"/>
    <w:rsid w:val="00F67D61"/>
    <w:rsid w:val="00F67D98"/>
    <w:rsid w:val="00F67E40"/>
    <w:rsid w:val="00F71318"/>
    <w:rsid w:val="00F72E03"/>
    <w:rsid w:val="00F73306"/>
    <w:rsid w:val="00F7401C"/>
    <w:rsid w:val="00F74C67"/>
    <w:rsid w:val="00F74F48"/>
    <w:rsid w:val="00F7524F"/>
    <w:rsid w:val="00F7595B"/>
    <w:rsid w:val="00F75C88"/>
    <w:rsid w:val="00F766D1"/>
    <w:rsid w:val="00F767B4"/>
    <w:rsid w:val="00F77D40"/>
    <w:rsid w:val="00F77F52"/>
    <w:rsid w:val="00F81495"/>
    <w:rsid w:val="00F8150F"/>
    <w:rsid w:val="00F828D4"/>
    <w:rsid w:val="00F82CB2"/>
    <w:rsid w:val="00F833F3"/>
    <w:rsid w:val="00F850B0"/>
    <w:rsid w:val="00F850D3"/>
    <w:rsid w:val="00F852EF"/>
    <w:rsid w:val="00F85851"/>
    <w:rsid w:val="00F85871"/>
    <w:rsid w:val="00F86E70"/>
    <w:rsid w:val="00F872DA"/>
    <w:rsid w:val="00F90304"/>
    <w:rsid w:val="00F91594"/>
    <w:rsid w:val="00F9181D"/>
    <w:rsid w:val="00F92068"/>
    <w:rsid w:val="00F92A43"/>
    <w:rsid w:val="00F92E2E"/>
    <w:rsid w:val="00F930B0"/>
    <w:rsid w:val="00F934D7"/>
    <w:rsid w:val="00F939D1"/>
    <w:rsid w:val="00F93F46"/>
    <w:rsid w:val="00F94536"/>
    <w:rsid w:val="00F97082"/>
    <w:rsid w:val="00F971E2"/>
    <w:rsid w:val="00F97654"/>
    <w:rsid w:val="00FA0359"/>
    <w:rsid w:val="00FA0A84"/>
    <w:rsid w:val="00FA11FD"/>
    <w:rsid w:val="00FA14BC"/>
    <w:rsid w:val="00FA2B2F"/>
    <w:rsid w:val="00FA2D49"/>
    <w:rsid w:val="00FA2DA9"/>
    <w:rsid w:val="00FA2F37"/>
    <w:rsid w:val="00FA30AF"/>
    <w:rsid w:val="00FA3DA2"/>
    <w:rsid w:val="00FA43F1"/>
    <w:rsid w:val="00FA5536"/>
    <w:rsid w:val="00FA5ACF"/>
    <w:rsid w:val="00FA5C0B"/>
    <w:rsid w:val="00FA6252"/>
    <w:rsid w:val="00FA63FD"/>
    <w:rsid w:val="00FA6915"/>
    <w:rsid w:val="00FA6B3E"/>
    <w:rsid w:val="00FA6C29"/>
    <w:rsid w:val="00FA7066"/>
    <w:rsid w:val="00FA72BE"/>
    <w:rsid w:val="00FA7AAD"/>
    <w:rsid w:val="00FB046C"/>
    <w:rsid w:val="00FB0B16"/>
    <w:rsid w:val="00FB0E75"/>
    <w:rsid w:val="00FB12EE"/>
    <w:rsid w:val="00FB1B41"/>
    <w:rsid w:val="00FB209C"/>
    <w:rsid w:val="00FB21D1"/>
    <w:rsid w:val="00FB2467"/>
    <w:rsid w:val="00FB2659"/>
    <w:rsid w:val="00FB2AC1"/>
    <w:rsid w:val="00FB2D9D"/>
    <w:rsid w:val="00FB3280"/>
    <w:rsid w:val="00FB33AF"/>
    <w:rsid w:val="00FB37E4"/>
    <w:rsid w:val="00FB3814"/>
    <w:rsid w:val="00FB3949"/>
    <w:rsid w:val="00FB39E1"/>
    <w:rsid w:val="00FB3B9C"/>
    <w:rsid w:val="00FB4D0B"/>
    <w:rsid w:val="00FB54E8"/>
    <w:rsid w:val="00FB6BF8"/>
    <w:rsid w:val="00FB6EC8"/>
    <w:rsid w:val="00FB7734"/>
    <w:rsid w:val="00FB7A1A"/>
    <w:rsid w:val="00FB7DBC"/>
    <w:rsid w:val="00FC08F4"/>
    <w:rsid w:val="00FC0CC6"/>
    <w:rsid w:val="00FC0EE0"/>
    <w:rsid w:val="00FC1174"/>
    <w:rsid w:val="00FC1567"/>
    <w:rsid w:val="00FC1DEA"/>
    <w:rsid w:val="00FC1E9A"/>
    <w:rsid w:val="00FC25D5"/>
    <w:rsid w:val="00FC2DBA"/>
    <w:rsid w:val="00FC3695"/>
    <w:rsid w:val="00FC4043"/>
    <w:rsid w:val="00FC4EBC"/>
    <w:rsid w:val="00FC6154"/>
    <w:rsid w:val="00FC6301"/>
    <w:rsid w:val="00FC6F44"/>
    <w:rsid w:val="00FD013B"/>
    <w:rsid w:val="00FD0385"/>
    <w:rsid w:val="00FD0AAD"/>
    <w:rsid w:val="00FD14B2"/>
    <w:rsid w:val="00FD1C8D"/>
    <w:rsid w:val="00FD1D38"/>
    <w:rsid w:val="00FD1F79"/>
    <w:rsid w:val="00FD2282"/>
    <w:rsid w:val="00FD23D5"/>
    <w:rsid w:val="00FD24A8"/>
    <w:rsid w:val="00FD24F5"/>
    <w:rsid w:val="00FD265D"/>
    <w:rsid w:val="00FD2E81"/>
    <w:rsid w:val="00FD315E"/>
    <w:rsid w:val="00FD34E7"/>
    <w:rsid w:val="00FD3847"/>
    <w:rsid w:val="00FD4F41"/>
    <w:rsid w:val="00FD5178"/>
    <w:rsid w:val="00FD5A51"/>
    <w:rsid w:val="00FD6959"/>
    <w:rsid w:val="00FD6E69"/>
    <w:rsid w:val="00FD7689"/>
    <w:rsid w:val="00FD7C71"/>
    <w:rsid w:val="00FE0FC8"/>
    <w:rsid w:val="00FE1EEE"/>
    <w:rsid w:val="00FE24E9"/>
    <w:rsid w:val="00FE2F14"/>
    <w:rsid w:val="00FE2FA2"/>
    <w:rsid w:val="00FE30B2"/>
    <w:rsid w:val="00FE32DE"/>
    <w:rsid w:val="00FE3787"/>
    <w:rsid w:val="00FE3B3A"/>
    <w:rsid w:val="00FE3BCC"/>
    <w:rsid w:val="00FE3DA0"/>
    <w:rsid w:val="00FE4623"/>
    <w:rsid w:val="00FE4A80"/>
    <w:rsid w:val="00FE512E"/>
    <w:rsid w:val="00FE56D3"/>
    <w:rsid w:val="00FE60E3"/>
    <w:rsid w:val="00FE6DA2"/>
    <w:rsid w:val="00FE739C"/>
    <w:rsid w:val="00FE760D"/>
    <w:rsid w:val="00FE7AFF"/>
    <w:rsid w:val="00FE7B03"/>
    <w:rsid w:val="00FF0342"/>
    <w:rsid w:val="00FF075C"/>
    <w:rsid w:val="00FF107E"/>
    <w:rsid w:val="00FF1525"/>
    <w:rsid w:val="00FF17D7"/>
    <w:rsid w:val="00FF1B6C"/>
    <w:rsid w:val="00FF2065"/>
    <w:rsid w:val="00FF2E13"/>
    <w:rsid w:val="00FF3BC0"/>
    <w:rsid w:val="00FF3CF0"/>
    <w:rsid w:val="00FF3F51"/>
    <w:rsid w:val="00FF4196"/>
    <w:rsid w:val="00FF41E5"/>
    <w:rsid w:val="00FF4396"/>
    <w:rsid w:val="00FF48CB"/>
    <w:rsid w:val="00FF4B5E"/>
    <w:rsid w:val="00FF5934"/>
    <w:rsid w:val="00FF6325"/>
    <w:rsid w:val="00FF6452"/>
    <w:rsid w:val="00FF7F40"/>
    <w:rsid w:val="042F37A3"/>
    <w:rsid w:val="050D5AE9"/>
    <w:rsid w:val="05EA4E4E"/>
    <w:rsid w:val="07F21583"/>
    <w:rsid w:val="0DD04C2D"/>
    <w:rsid w:val="1A9D788E"/>
    <w:rsid w:val="1B5D3291"/>
    <w:rsid w:val="25245249"/>
    <w:rsid w:val="28540C97"/>
    <w:rsid w:val="30710DAC"/>
    <w:rsid w:val="3ABE3ADE"/>
    <w:rsid w:val="4FFB1EE7"/>
    <w:rsid w:val="50D52EBE"/>
    <w:rsid w:val="52C032A7"/>
    <w:rsid w:val="5CA009E0"/>
    <w:rsid w:val="690B4879"/>
    <w:rsid w:val="6C602F69"/>
    <w:rsid w:val="761E7184"/>
    <w:rsid w:val="7A0D42EC"/>
    <w:rsid w:val="7B8C1172"/>
    <w:rsid w:val="7DC304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07" fillcolor="white">
      <v:fill color="white"/>
    </o:shapedefaults>
    <o:shapelayout v:ext="edit">
      <o:idmap v:ext="edit" data="1"/>
    </o:shapelayout>
  </w:shapeDefaults>
  <w:decimalSymbol w:val="."/>
  <w:listSeparator w:val=","/>
  <w15:docId w15:val="{59B92943-065D-9F4A-99AF-5E83763E4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spacing w:line="360" w:lineRule="auto"/>
      <w:jc w:val="both"/>
    </w:pPr>
    <w:rPr>
      <w:rFonts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cstheme="majorBidi"/>
      <w:b/>
      <w:bCs/>
      <w:sz w:val="30"/>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24"/>
      <w:szCs w:val="32"/>
    </w:rPr>
  </w:style>
  <w:style w:type="paragraph" w:styleId="4">
    <w:name w:val="heading 4"/>
    <w:basedOn w:val="a"/>
    <w:next w:val="a"/>
    <w:link w:val="40"/>
    <w:uiPriority w:val="9"/>
    <w:unhideWhenUsed/>
    <w:qFormat/>
    <w:pPr>
      <w:keepNext/>
      <w:keepLines/>
      <w:spacing w:before="160" w:after="160" w:line="377" w:lineRule="auto"/>
      <w:outlineLvl w:val="3"/>
    </w:pPr>
    <w:rPr>
      <w:rFonts w:cstheme="majorBidi"/>
      <w:b/>
      <w:bCs/>
      <w:szCs w:val="28"/>
    </w:rPr>
  </w:style>
  <w:style w:type="paragraph" w:styleId="5">
    <w:name w:val="heading 5"/>
    <w:basedOn w:val="a"/>
    <w:next w:val="a"/>
    <w:link w:val="50"/>
    <w:uiPriority w:val="9"/>
    <w:unhideWhenUsed/>
    <w:qFormat/>
    <w:pPr>
      <w:keepNext/>
      <w:keepLines/>
      <w:ind w:firstLineChars="200" w:firstLine="200"/>
      <w:jc w:val="left"/>
      <w:outlineLvl w:val="4"/>
    </w:pPr>
    <w:rPr>
      <w:b/>
      <w:bCs/>
      <w:szCs w:val="28"/>
    </w:rPr>
  </w:style>
  <w:style w:type="paragraph" w:styleId="6">
    <w:name w:val="heading 6"/>
    <w:basedOn w:val="a"/>
    <w:next w:val="a"/>
    <w:link w:val="60"/>
    <w:uiPriority w:val="9"/>
    <w:qFormat/>
    <w:pPr>
      <w:keepNext/>
      <w:keepLines/>
      <w:widowControl/>
      <w:spacing w:line="319" w:lineRule="auto"/>
      <w:jc w:val="center"/>
      <w:outlineLvl w:val="5"/>
    </w:pPr>
    <w:rPr>
      <w:rFonts w:cs="Times New Roman"/>
      <w:bCs/>
      <w:sz w:val="18"/>
      <w:szCs w:val="24"/>
    </w:rPr>
  </w:style>
  <w:style w:type="paragraph" w:styleId="9">
    <w:name w:val="heading 9"/>
    <w:basedOn w:val="a"/>
    <w:next w:val="a"/>
    <w:link w:val="90"/>
    <w:uiPriority w:val="9"/>
    <w:qFormat/>
    <w:pPr>
      <w:keepNext/>
      <w:keepLines/>
      <w:widowControl/>
      <w:spacing w:before="240" w:after="64" w:line="320" w:lineRule="auto"/>
      <w:outlineLvl w:val="8"/>
    </w:pPr>
    <w:rPr>
      <w:rFonts w:ascii="Calibri Light" w:hAnsi="Calibri Light"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qFormat/>
    <w:pPr>
      <w:widowControl/>
      <w:ind w:left="1440"/>
      <w:jc w:val="left"/>
    </w:pPr>
    <w:rPr>
      <w:rFonts w:ascii="Calibri" w:hAnsi="Calibri" w:cs="Times New Roman"/>
      <w:sz w:val="18"/>
      <w:szCs w:val="18"/>
    </w:rPr>
  </w:style>
  <w:style w:type="paragraph" w:styleId="a3">
    <w:name w:val="caption"/>
    <w:basedOn w:val="a"/>
    <w:next w:val="a"/>
    <w:link w:val="a4"/>
    <w:uiPriority w:val="35"/>
    <w:qFormat/>
    <w:pPr>
      <w:widowControl/>
      <w:jc w:val="center"/>
    </w:pPr>
    <w:rPr>
      <w:rFonts w:cs="Times New Roman"/>
      <w:sz w:val="18"/>
      <w:szCs w:val="20"/>
    </w:rPr>
  </w:style>
  <w:style w:type="paragraph" w:styleId="a5">
    <w:name w:val="Document Map"/>
    <w:basedOn w:val="a"/>
    <w:link w:val="a6"/>
    <w:uiPriority w:val="99"/>
    <w:semiHidden/>
    <w:qFormat/>
    <w:pPr>
      <w:widowControl/>
    </w:pPr>
    <w:rPr>
      <w:rFonts w:cs="Times New Roman"/>
      <w:sz w:val="24"/>
      <w:szCs w:val="24"/>
    </w:rPr>
  </w:style>
  <w:style w:type="paragraph" w:styleId="a7">
    <w:name w:val="annotation text"/>
    <w:basedOn w:val="a"/>
    <w:link w:val="a8"/>
    <w:uiPriority w:val="99"/>
    <w:unhideWhenUsed/>
    <w:qFormat/>
    <w:pPr>
      <w:jc w:val="left"/>
    </w:pPr>
  </w:style>
  <w:style w:type="paragraph" w:styleId="TOC5">
    <w:name w:val="toc 5"/>
    <w:basedOn w:val="a"/>
    <w:next w:val="a"/>
    <w:uiPriority w:val="39"/>
    <w:qFormat/>
    <w:pPr>
      <w:widowControl/>
      <w:ind w:left="960"/>
      <w:jc w:val="left"/>
    </w:pPr>
    <w:rPr>
      <w:rFonts w:ascii="Calibri" w:hAnsi="Calibri" w:cs="Times New Roman"/>
      <w:sz w:val="18"/>
      <w:szCs w:val="18"/>
    </w:rPr>
  </w:style>
  <w:style w:type="paragraph" w:styleId="TOC3">
    <w:name w:val="toc 3"/>
    <w:basedOn w:val="a"/>
    <w:next w:val="a"/>
    <w:uiPriority w:val="39"/>
    <w:qFormat/>
    <w:pPr>
      <w:widowControl/>
      <w:ind w:left="480"/>
      <w:jc w:val="left"/>
    </w:pPr>
    <w:rPr>
      <w:rFonts w:ascii="Calibri" w:hAnsi="Calibri" w:cs="Times New Roman"/>
      <w:iCs/>
      <w:sz w:val="22"/>
      <w:szCs w:val="20"/>
    </w:rPr>
  </w:style>
  <w:style w:type="paragraph" w:styleId="TOC8">
    <w:name w:val="toc 8"/>
    <w:basedOn w:val="a"/>
    <w:next w:val="a"/>
    <w:uiPriority w:val="39"/>
    <w:qFormat/>
    <w:pPr>
      <w:widowControl/>
      <w:ind w:left="1680"/>
      <w:jc w:val="left"/>
    </w:pPr>
    <w:rPr>
      <w:rFonts w:ascii="Calibri" w:hAnsi="Calibri" w:cs="Times New Roman"/>
      <w:sz w:val="18"/>
      <w:szCs w:val="18"/>
    </w:rPr>
  </w:style>
  <w:style w:type="paragraph" w:styleId="a9">
    <w:name w:val="endnote text"/>
    <w:basedOn w:val="a"/>
    <w:link w:val="aa"/>
    <w:uiPriority w:val="99"/>
    <w:semiHidden/>
    <w:unhideWhenUsed/>
    <w:qFormat/>
    <w:pPr>
      <w:snapToGrid w:val="0"/>
      <w:jc w:val="left"/>
    </w:pPr>
  </w:style>
  <w:style w:type="paragraph" w:styleId="ab">
    <w:name w:val="Balloon Text"/>
    <w:basedOn w:val="a"/>
    <w:link w:val="ac"/>
    <w:uiPriority w:val="99"/>
    <w:semiHidden/>
    <w:qFormat/>
    <w:pPr>
      <w:widowControl/>
    </w:pPr>
    <w:rPr>
      <w:rFonts w:cs="Times New Roman"/>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widowControl/>
      <w:tabs>
        <w:tab w:val="right" w:leader="dot" w:pos="9060"/>
      </w:tabs>
      <w:spacing w:before="120" w:after="120"/>
      <w:jc w:val="left"/>
    </w:pPr>
    <w:rPr>
      <w:rFonts w:ascii="Calibri" w:hAnsi="Calibri" w:cs="Times New Roman"/>
      <w:b/>
      <w:bCs/>
      <w:caps/>
      <w:sz w:val="24"/>
      <w:szCs w:val="20"/>
    </w:rPr>
  </w:style>
  <w:style w:type="paragraph" w:styleId="TOC4">
    <w:name w:val="toc 4"/>
    <w:basedOn w:val="a"/>
    <w:next w:val="a"/>
    <w:uiPriority w:val="39"/>
    <w:qFormat/>
    <w:pPr>
      <w:widowControl/>
      <w:ind w:left="720"/>
      <w:jc w:val="left"/>
    </w:pPr>
    <w:rPr>
      <w:rFonts w:ascii="Calibri" w:hAnsi="Calibri" w:cs="Times New Roman"/>
      <w:sz w:val="22"/>
      <w:szCs w:val="18"/>
    </w:rPr>
  </w:style>
  <w:style w:type="paragraph" w:styleId="af1">
    <w:name w:val="footnote text"/>
    <w:basedOn w:val="a"/>
    <w:link w:val="af2"/>
    <w:uiPriority w:val="99"/>
    <w:qFormat/>
    <w:pPr>
      <w:snapToGrid w:val="0"/>
    </w:pPr>
    <w:rPr>
      <w:rFonts w:ascii="Calibri" w:hAnsi="Calibri" w:cs="黑体"/>
      <w:sz w:val="18"/>
    </w:rPr>
  </w:style>
  <w:style w:type="paragraph" w:styleId="TOC6">
    <w:name w:val="toc 6"/>
    <w:basedOn w:val="a"/>
    <w:next w:val="a"/>
    <w:uiPriority w:val="39"/>
    <w:qFormat/>
    <w:pPr>
      <w:widowControl/>
      <w:ind w:left="1200"/>
      <w:jc w:val="left"/>
    </w:pPr>
    <w:rPr>
      <w:rFonts w:ascii="Calibri" w:hAnsi="Calibri" w:cs="Times New Roman"/>
      <w:sz w:val="18"/>
      <w:szCs w:val="18"/>
    </w:rPr>
  </w:style>
  <w:style w:type="paragraph" w:styleId="TOC2">
    <w:name w:val="toc 2"/>
    <w:basedOn w:val="a"/>
    <w:next w:val="a"/>
    <w:uiPriority w:val="39"/>
    <w:qFormat/>
    <w:pPr>
      <w:widowControl/>
      <w:ind w:left="240"/>
      <w:jc w:val="left"/>
    </w:pPr>
    <w:rPr>
      <w:rFonts w:ascii="Calibri" w:hAnsi="Calibri" w:cs="Times New Roman"/>
      <w:b/>
      <w:smallCaps/>
      <w:sz w:val="22"/>
      <w:szCs w:val="20"/>
    </w:rPr>
  </w:style>
  <w:style w:type="paragraph" w:styleId="TOC9">
    <w:name w:val="toc 9"/>
    <w:basedOn w:val="a"/>
    <w:next w:val="a"/>
    <w:uiPriority w:val="39"/>
    <w:qFormat/>
    <w:pPr>
      <w:widowControl/>
      <w:ind w:left="1920"/>
      <w:jc w:val="left"/>
    </w:pPr>
    <w:rPr>
      <w:rFonts w:ascii="Calibri" w:hAnsi="Calibri" w:cs="Times New Roman"/>
      <w:sz w:val="18"/>
      <w:szCs w:val="18"/>
    </w:rPr>
  </w:style>
  <w:style w:type="paragraph" w:styleId="af3">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4">
    <w:name w:val="annotation subject"/>
    <w:basedOn w:val="a7"/>
    <w:next w:val="a7"/>
    <w:link w:val="af5"/>
    <w:uiPriority w:val="99"/>
    <w:semiHidden/>
    <w:qFormat/>
    <w:pPr>
      <w:widowControl/>
      <w:jc w:val="both"/>
    </w:pPr>
    <w:rPr>
      <w:rFonts w:cs="Times New Roman"/>
      <w:b/>
      <w:bCs/>
      <w:sz w:val="24"/>
      <w:szCs w:val="24"/>
    </w:rPr>
  </w:style>
  <w:style w:type="table" w:styleId="af6">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endnote reference"/>
    <w:basedOn w:val="a0"/>
    <w:uiPriority w:val="99"/>
    <w:semiHidden/>
    <w:unhideWhenUsed/>
    <w:rPr>
      <w:vertAlign w:val="superscript"/>
    </w:rPr>
  </w:style>
  <w:style w:type="character" w:styleId="af9">
    <w:name w:val="FollowedHyperlink"/>
    <w:basedOn w:val="a0"/>
    <w:uiPriority w:val="99"/>
    <w:semiHidden/>
    <w:unhideWhenUsed/>
    <w:qFormat/>
    <w:rPr>
      <w:color w:val="954F72"/>
      <w:u w:val="single"/>
    </w:rPr>
  </w:style>
  <w:style w:type="character" w:styleId="afa">
    <w:name w:val="Hyperlink"/>
    <w:basedOn w:val="a0"/>
    <w:uiPriority w:val="99"/>
    <w:unhideWhenUsed/>
    <w:qFormat/>
    <w:rPr>
      <w:color w:val="0563C1"/>
      <w:u w:val="single"/>
    </w:rPr>
  </w:style>
  <w:style w:type="character" w:styleId="afb">
    <w:name w:val="annotation reference"/>
    <w:basedOn w:val="a0"/>
    <w:uiPriority w:val="99"/>
    <w:semiHidden/>
    <w:unhideWhenUsed/>
    <w:qFormat/>
    <w:rPr>
      <w:sz w:val="21"/>
      <w:szCs w:val="21"/>
    </w:rPr>
  </w:style>
  <w:style w:type="character" w:styleId="afc">
    <w:name w:val="footnote reference"/>
    <w:uiPriority w:val="99"/>
    <w:qFormat/>
    <w:rPr>
      <w:rFonts w:cs="Times New Roman"/>
      <w:vertAlign w:val="superscript"/>
    </w:rPr>
  </w:style>
  <w:style w:type="character" w:customStyle="1" w:styleId="af0">
    <w:name w:val="页眉 字符"/>
    <w:basedOn w:val="a0"/>
    <w:link w:val="af"/>
    <w:qFormat/>
    <w:rPr>
      <w:sz w:val="18"/>
      <w:szCs w:val="18"/>
    </w:rPr>
  </w:style>
  <w:style w:type="character" w:customStyle="1" w:styleId="ae">
    <w:name w:val="页脚 字符"/>
    <w:basedOn w:val="a0"/>
    <w:link w:val="ad"/>
    <w:uiPriority w:val="99"/>
    <w:qFormat/>
    <w:rPr>
      <w:sz w:val="18"/>
      <w:szCs w:val="18"/>
    </w:rPr>
  </w:style>
  <w:style w:type="character" w:customStyle="1" w:styleId="10">
    <w:name w:val="标题 1 字符"/>
    <w:basedOn w:val="a0"/>
    <w:link w:val="1"/>
    <w:uiPriority w:val="9"/>
    <w:qFormat/>
    <w:rPr>
      <w:rFonts w:ascii="Times New Roman" w:eastAsia="宋体" w:hAnsi="Times New Roman"/>
      <w:b/>
      <w:bCs/>
      <w:kern w:val="44"/>
      <w:sz w:val="32"/>
      <w:szCs w:val="44"/>
    </w:rPr>
  </w:style>
  <w:style w:type="paragraph" w:styleId="afd">
    <w:name w:val="List Paragraph"/>
    <w:basedOn w:val="a"/>
    <w:uiPriority w:val="34"/>
    <w:qFormat/>
    <w:pPr>
      <w:ind w:firstLineChars="200" w:firstLine="420"/>
    </w:pPr>
  </w:style>
  <w:style w:type="character" w:customStyle="1" w:styleId="20">
    <w:name w:val="标题 2 字符"/>
    <w:basedOn w:val="a0"/>
    <w:link w:val="2"/>
    <w:uiPriority w:val="9"/>
    <w:qFormat/>
    <w:rPr>
      <w:rFonts w:ascii="Times New Roman" w:eastAsia="宋体" w:hAnsi="Times New Roman" w:cstheme="majorBidi"/>
      <w:b/>
      <w:bCs/>
      <w:sz w:val="30"/>
      <w:szCs w:val="32"/>
    </w:rPr>
  </w:style>
  <w:style w:type="character" w:customStyle="1" w:styleId="30">
    <w:name w:val="标题 3 字符"/>
    <w:basedOn w:val="a0"/>
    <w:link w:val="3"/>
    <w:uiPriority w:val="9"/>
    <w:qFormat/>
    <w:rPr>
      <w:rFonts w:ascii="Times New Roman" w:eastAsia="宋体" w:hAnsi="Times New Roman"/>
      <w:b/>
      <w:bCs/>
      <w:sz w:val="24"/>
      <w:szCs w:val="32"/>
    </w:rPr>
  </w:style>
  <w:style w:type="character" w:customStyle="1" w:styleId="40">
    <w:name w:val="标题 4 字符"/>
    <w:basedOn w:val="a0"/>
    <w:link w:val="4"/>
    <w:uiPriority w:val="9"/>
    <w:qFormat/>
    <w:rPr>
      <w:rFonts w:ascii="Times New Roman" w:eastAsia="宋体" w:hAnsi="Times New Roman" w:cstheme="majorBidi"/>
      <w:b/>
      <w:bCs/>
      <w:szCs w:val="28"/>
    </w:rPr>
  </w:style>
  <w:style w:type="character" w:customStyle="1" w:styleId="50">
    <w:name w:val="标题 5 字符"/>
    <w:basedOn w:val="a0"/>
    <w:link w:val="5"/>
    <w:uiPriority w:val="9"/>
    <w:qFormat/>
    <w:rPr>
      <w:rFonts w:ascii="Times New Roman" w:eastAsia="宋体" w:hAnsi="Times New Roman"/>
      <w:b/>
      <w:bCs/>
      <w:szCs w:val="28"/>
    </w:rPr>
  </w:style>
  <w:style w:type="character" w:customStyle="1" w:styleId="af2">
    <w:name w:val="脚注文本 字符"/>
    <w:basedOn w:val="a0"/>
    <w:link w:val="af1"/>
    <w:uiPriority w:val="99"/>
    <w:qFormat/>
    <w:rPr>
      <w:rFonts w:ascii="Calibri" w:hAnsi="Calibri" w:cs="黑体"/>
      <w:sz w:val="18"/>
    </w:rPr>
  </w:style>
  <w:style w:type="character" w:customStyle="1" w:styleId="a4">
    <w:name w:val="题注 字符"/>
    <w:basedOn w:val="a0"/>
    <w:link w:val="a3"/>
    <w:uiPriority w:val="35"/>
    <w:qFormat/>
    <w:rPr>
      <w:rFonts w:ascii="Times New Roman" w:eastAsia="宋体" w:hAnsi="Times New Roman" w:cs="Times New Roman"/>
      <w:sz w:val="18"/>
      <w:szCs w:val="20"/>
    </w:rPr>
  </w:style>
  <w:style w:type="character" w:customStyle="1" w:styleId="60">
    <w:name w:val="标题 6 字符"/>
    <w:basedOn w:val="a0"/>
    <w:link w:val="6"/>
    <w:uiPriority w:val="9"/>
    <w:qFormat/>
    <w:rPr>
      <w:rFonts w:ascii="Times New Roman" w:eastAsia="宋体" w:hAnsi="Times New Roman" w:cs="Times New Roman"/>
      <w:bCs/>
      <w:sz w:val="18"/>
      <w:szCs w:val="24"/>
    </w:rPr>
  </w:style>
  <w:style w:type="character" w:customStyle="1" w:styleId="90">
    <w:name w:val="标题 9 字符"/>
    <w:basedOn w:val="a0"/>
    <w:link w:val="9"/>
    <w:uiPriority w:val="9"/>
    <w:qFormat/>
    <w:rPr>
      <w:rFonts w:ascii="Calibri Light" w:hAnsi="Calibri Light" w:cs="Times New Roman"/>
      <w:szCs w:val="21"/>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7">
    <w:name w:val="xl67"/>
    <w:basedOn w:val="a"/>
    <w:qFormat/>
    <w:pPr>
      <w:widowControl/>
      <w:pBdr>
        <w:top w:val="single" w:sz="4" w:space="0" w:color="8EA9DB"/>
        <w:left w:val="single" w:sz="4" w:space="0" w:color="8EA9DB"/>
        <w:bottom w:val="single" w:sz="4" w:space="0" w:color="8EA9DB"/>
        <w:right w:val="single" w:sz="4" w:space="0" w:color="8EA9DB"/>
      </w:pBdr>
      <w:shd w:val="clear" w:color="D9E1F2" w:fill="4472C4"/>
      <w:spacing w:before="100" w:beforeAutospacing="1" w:after="100" w:afterAutospacing="1"/>
      <w:jc w:val="center"/>
    </w:pPr>
    <w:rPr>
      <w:rFonts w:ascii="微软雅黑" w:eastAsia="微软雅黑" w:hAnsi="微软雅黑" w:cs="宋体"/>
      <w:b/>
      <w:bCs/>
      <w:color w:val="FFFFFF"/>
      <w:kern w:val="0"/>
      <w:sz w:val="12"/>
      <w:szCs w:val="12"/>
    </w:rPr>
  </w:style>
  <w:style w:type="paragraph" w:customStyle="1" w:styleId="xl68">
    <w:name w:val="xl68"/>
    <w:basedOn w:val="a"/>
    <w:qFormat/>
    <w:pPr>
      <w:widowControl/>
      <w:pBdr>
        <w:top w:val="single" w:sz="4" w:space="0" w:color="8EA9DB"/>
        <w:left w:val="single" w:sz="4" w:space="0" w:color="8EA9DB"/>
        <w:bottom w:val="single" w:sz="4" w:space="0" w:color="8EA9DB"/>
        <w:right w:val="single" w:sz="4" w:space="0" w:color="8EA9DB"/>
      </w:pBdr>
      <w:shd w:val="clear" w:color="D9E1F2" w:fill="D9E1F2"/>
      <w:spacing w:before="100" w:beforeAutospacing="1" w:after="100" w:afterAutospacing="1"/>
      <w:jc w:val="center"/>
    </w:pPr>
    <w:rPr>
      <w:rFonts w:ascii="微软雅黑" w:eastAsia="微软雅黑" w:hAnsi="微软雅黑" w:cs="宋体"/>
      <w:kern w:val="0"/>
      <w:sz w:val="12"/>
      <w:szCs w:val="12"/>
    </w:rPr>
  </w:style>
  <w:style w:type="paragraph" w:customStyle="1" w:styleId="xl69">
    <w:name w:val="xl69"/>
    <w:basedOn w:val="a"/>
    <w:qFormat/>
    <w:pPr>
      <w:widowControl/>
      <w:pBdr>
        <w:top w:val="single" w:sz="4" w:space="0" w:color="8EA9DB"/>
        <w:left w:val="single" w:sz="4" w:space="0" w:color="8EA9DB"/>
        <w:bottom w:val="single" w:sz="4" w:space="0" w:color="8EA9DB"/>
        <w:right w:val="single" w:sz="4" w:space="0" w:color="8EA9DB"/>
      </w:pBdr>
      <w:spacing w:before="100" w:beforeAutospacing="1" w:after="100" w:afterAutospacing="1"/>
      <w:jc w:val="center"/>
    </w:pPr>
    <w:rPr>
      <w:rFonts w:ascii="微软雅黑" w:eastAsia="微软雅黑" w:hAnsi="微软雅黑" w:cs="宋体"/>
      <w:kern w:val="0"/>
      <w:sz w:val="12"/>
      <w:szCs w:val="12"/>
    </w:rPr>
  </w:style>
  <w:style w:type="paragraph" w:customStyle="1" w:styleId="xl70">
    <w:name w:val="xl70"/>
    <w:basedOn w:val="a"/>
    <w:qFormat/>
    <w:pPr>
      <w:widowControl/>
      <w:pBdr>
        <w:top w:val="single" w:sz="4" w:space="0" w:color="8EA9DB"/>
        <w:left w:val="single" w:sz="4" w:space="0" w:color="8EA9DB"/>
        <w:bottom w:val="single" w:sz="4" w:space="0" w:color="8EA9DB"/>
        <w:right w:val="single" w:sz="4" w:space="0" w:color="8EA9DB"/>
      </w:pBdr>
      <w:shd w:val="clear" w:color="D9E1F2" w:fill="4472C4"/>
      <w:spacing w:before="100" w:beforeAutospacing="1" w:after="100" w:afterAutospacing="1"/>
      <w:jc w:val="center"/>
    </w:pPr>
    <w:rPr>
      <w:rFonts w:ascii="微软雅黑" w:eastAsia="微软雅黑" w:hAnsi="微软雅黑" w:cs="宋体"/>
      <w:b/>
      <w:bCs/>
      <w:color w:val="FFFFFF"/>
      <w:kern w:val="0"/>
      <w:sz w:val="12"/>
      <w:szCs w:val="12"/>
    </w:rPr>
  </w:style>
  <w:style w:type="character" w:customStyle="1" w:styleId="a8">
    <w:name w:val="批注文字 字符"/>
    <w:basedOn w:val="a0"/>
    <w:link w:val="a7"/>
    <w:uiPriority w:val="99"/>
    <w:qFormat/>
  </w:style>
  <w:style w:type="character" w:customStyle="1" w:styleId="af5">
    <w:name w:val="批注主题 字符"/>
    <w:basedOn w:val="a8"/>
    <w:link w:val="af4"/>
    <w:uiPriority w:val="99"/>
    <w:semiHidden/>
    <w:qFormat/>
    <w:rPr>
      <w:rFonts w:ascii="Times New Roman" w:hAnsi="Times New Roman" w:cs="Times New Roman"/>
      <w:b/>
      <w:bCs/>
      <w:sz w:val="24"/>
      <w:szCs w:val="24"/>
    </w:rPr>
  </w:style>
  <w:style w:type="character" w:customStyle="1" w:styleId="11">
    <w:name w:val="批注主题 字符1"/>
    <w:basedOn w:val="a8"/>
    <w:uiPriority w:val="99"/>
    <w:semiHidden/>
    <w:qFormat/>
    <w:rPr>
      <w:b/>
      <w:bCs/>
    </w:rPr>
  </w:style>
  <w:style w:type="character" w:customStyle="1" w:styleId="a6">
    <w:name w:val="文档结构图 字符"/>
    <w:basedOn w:val="a0"/>
    <w:link w:val="a5"/>
    <w:uiPriority w:val="99"/>
    <w:semiHidden/>
    <w:qFormat/>
    <w:rPr>
      <w:rFonts w:ascii="Times New Roman" w:hAnsi="Times New Roman" w:cs="Times New Roman"/>
      <w:sz w:val="24"/>
      <w:szCs w:val="24"/>
    </w:rPr>
  </w:style>
  <w:style w:type="character" w:customStyle="1" w:styleId="12">
    <w:name w:val="文档结构图 字符1"/>
    <w:basedOn w:val="a0"/>
    <w:uiPriority w:val="99"/>
    <w:semiHidden/>
    <w:qFormat/>
    <w:rPr>
      <w:rFonts w:ascii="Microsoft YaHei UI" w:eastAsia="Microsoft YaHei UI"/>
      <w:sz w:val="18"/>
      <w:szCs w:val="18"/>
    </w:rPr>
  </w:style>
  <w:style w:type="character" w:customStyle="1" w:styleId="ac">
    <w:name w:val="批注框文本 字符"/>
    <w:basedOn w:val="a0"/>
    <w:link w:val="ab"/>
    <w:uiPriority w:val="99"/>
    <w:semiHidden/>
    <w:qFormat/>
    <w:rPr>
      <w:rFonts w:ascii="Times New Roman" w:hAnsi="Times New Roman" w:cs="Times New Roman"/>
      <w:sz w:val="18"/>
      <w:szCs w:val="18"/>
    </w:rPr>
  </w:style>
  <w:style w:type="character" w:customStyle="1" w:styleId="13">
    <w:name w:val="批注框文本 字符1"/>
    <w:basedOn w:val="a0"/>
    <w:uiPriority w:val="99"/>
    <w:semiHidden/>
    <w:qFormat/>
    <w:rPr>
      <w:sz w:val="18"/>
      <w:szCs w:val="18"/>
    </w:rPr>
  </w:style>
  <w:style w:type="paragraph" w:customStyle="1" w:styleId="14">
    <w:name w:val="列出段落1"/>
    <w:basedOn w:val="a"/>
    <w:uiPriority w:val="34"/>
    <w:qFormat/>
    <w:pPr>
      <w:widowControl/>
      <w:ind w:firstLineChars="200" w:firstLine="420"/>
    </w:pPr>
    <w:rPr>
      <w:rFonts w:cs="Times New Roman"/>
      <w:sz w:val="24"/>
      <w:szCs w:val="24"/>
    </w:rPr>
  </w:style>
  <w:style w:type="paragraph" w:customStyle="1" w:styleId="ListParagraph1">
    <w:name w:val="List Paragraph1"/>
    <w:basedOn w:val="a"/>
    <w:uiPriority w:val="34"/>
    <w:qFormat/>
    <w:pPr>
      <w:widowControl/>
      <w:ind w:firstLineChars="200" w:firstLine="420"/>
    </w:pPr>
    <w:rPr>
      <w:rFonts w:cs="Times New Roman"/>
      <w:sz w:val="24"/>
      <w:szCs w:val="24"/>
    </w:rPr>
  </w:style>
  <w:style w:type="paragraph" w:customStyle="1" w:styleId="21">
    <w:name w:val="列出段落2"/>
    <w:basedOn w:val="a"/>
    <w:uiPriority w:val="99"/>
    <w:qFormat/>
    <w:pPr>
      <w:widowControl/>
      <w:ind w:firstLineChars="200" w:firstLine="420"/>
    </w:pPr>
    <w:rPr>
      <w:rFonts w:cs="Times New Roman"/>
      <w:sz w:val="24"/>
      <w:szCs w:val="24"/>
    </w:rPr>
  </w:style>
  <w:style w:type="paragraph" w:customStyle="1" w:styleId="NoSpacing1">
    <w:name w:val="No Spacing1"/>
    <w:uiPriority w:val="1"/>
    <w:qFormat/>
    <w:rPr>
      <w:kern w:val="2"/>
      <w:sz w:val="24"/>
      <w:szCs w:val="24"/>
    </w:rPr>
  </w:style>
  <w:style w:type="paragraph" w:customStyle="1" w:styleId="TOCHeading1">
    <w:name w:val="TOC Heading1"/>
    <w:basedOn w:val="1"/>
    <w:next w:val="a"/>
    <w:uiPriority w:val="39"/>
    <w:qFormat/>
    <w:pPr>
      <w:widowControl/>
      <w:spacing w:before="480" w:after="0" w:line="276" w:lineRule="auto"/>
      <w:outlineLvl w:val="9"/>
    </w:pPr>
    <w:rPr>
      <w:rFonts w:ascii="Calibri Light" w:eastAsiaTheme="minorEastAsia" w:hAnsi="Calibri Light" w:cs="Times New Roman"/>
      <w:color w:val="2E74B5"/>
      <w:kern w:val="0"/>
      <w:sz w:val="28"/>
      <w:szCs w:val="28"/>
    </w:rPr>
  </w:style>
  <w:style w:type="paragraph" w:customStyle="1" w:styleId="15">
    <w:name w:val="图表标题1"/>
    <w:basedOn w:val="6"/>
    <w:link w:val="16"/>
    <w:qFormat/>
    <w:pPr>
      <w:spacing w:line="360" w:lineRule="auto"/>
      <w:ind w:leftChars="100" w:left="240" w:rightChars="100" w:right="100"/>
    </w:pPr>
    <w:rPr>
      <w:bCs w:val="0"/>
      <w:sz w:val="21"/>
      <w:szCs w:val="21"/>
    </w:rPr>
  </w:style>
  <w:style w:type="character" w:customStyle="1" w:styleId="16">
    <w:name w:val="图表标题1 字符"/>
    <w:link w:val="15"/>
    <w:qFormat/>
    <w:locked/>
    <w:rPr>
      <w:rFonts w:ascii="Calibri Light" w:hAnsi="Calibri Light" w:cs="Times New Roman"/>
      <w:b/>
      <w:szCs w:val="21"/>
    </w:rPr>
  </w:style>
  <w:style w:type="character" w:customStyle="1" w:styleId="afe">
    <w:name w:val="表格字体"/>
    <w:uiPriority w:val="1"/>
    <w:qFormat/>
    <w:rPr>
      <w:rFonts w:ascii="微软雅黑" w:hAnsi="微软雅黑" w:cs="Times New Roman"/>
      <w:color w:val="000000"/>
      <w:kern w:val="0"/>
      <w:sz w:val="18"/>
      <w:szCs w:val="18"/>
    </w:rPr>
  </w:style>
  <w:style w:type="character" w:customStyle="1" w:styleId="aff">
    <w:name w:val="表格栏目"/>
    <w:uiPriority w:val="1"/>
    <w:qFormat/>
    <w:rPr>
      <w:rFonts w:ascii="微软雅黑" w:hAnsi="微软雅黑" w:cs="Times New Roman"/>
      <w:b/>
      <w:color w:val="FFFFFF"/>
      <w:kern w:val="0"/>
      <w:sz w:val="18"/>
      <w:szCs w:val="18"/>
    </w:rPr>
  </w:style>
  <w:style w:type="paragraph" w:customStyle="1" w:styleId="xl65">
    <w:name w:val="xl65"/>
    <w:basedOn w:val="a"/>
    <w:qFormat/>
    <w:pPr>
      <w:widowControl/>
      <w:pBdr>
        <w:top w:val="single" w:sz="4" w:space="0" w:color="5B9BD5"/>
        <w:left w:val="single" w:sz="4" w:space="0" w:color="5B9BD5"/>
        <w:bottom w:val="single" w:sz="4" w:space="0" w:color="5B9BD5"/>
        <w:right w:val="single" w:sz="4" w:space="0" w:color="5B9BD5"/>
      </w:pBdr>
      <w:spacing w:before="100" w:beforeAutospacing="1" w:after="100" w:afterAutospacing="1"/>
      <w:jc w:val="center"/>
    </w:pPr>
    <w:rPr>
      <w:rFonts w:ascii="宋体" w:hAnsi="宋体" w:cs="宋体"/>
      <w:kern w:val="0"/>
      <w:sz w:val="24"/>
      <w:szCs w:val="24"/>
    </w:rPr>
  </w:style>
  <w:style w:type="paragraph" w:customStyle="1" w:styleId="xl66">
    <w:name w:val="xl66"/>
    <w:basedOn w:val="a"/>
    <w:qFormat/>
    <w:pPr>
      <w:widowControl/>
      <w:pBdr>
        <w:top w:val="single" w:sz="4" w:space="0" w:color="5B9BD5"/>
        <w:left w:val="single" w:sz="4" w:space="0" w:color="5B9BD5"/>
        <w:bottom w:val="single" w:sz="4" w:space="0" w:color="5B9BD5"/>
        <w:right w:val="single" w:sz="4" w:space="0" w:color="5B9BD5"/>
      </w:pBdr>
      <w:shd w:val="clear" w:color="DDEBF7" w:fill="5B9BD5"/>
      <w:spacing w:before="100" w:beforeAutospacing="1" w:after="100" w:afterAutospacing="1"/>
      <w:jc w:val="center"/>
    </w:pPr>
    <w:rPr>
      <w:rFonts w:ascii="宋体" w:hAnsi="宋体" w:cs="宋体"/>
      <w:b/>
      <w:bCs/>
      <w:color w:val="FFFFFF"/>
      <w:kern w:val="0"/>
      <w:sz w:val="24"/>
      <w:szCs w:val="24"/>
    </w:rPr>
  </w:style>
  <w:style w:type="paragraph" w:customStyle="1" w:styleId="Style1">
    <w:name w:val="Style1"/>
    <w:basedOn w:val="5"/>
    <w:qFormat/>
    <w:pPr>
      <w:spacing w:after="40"/>
    </w:pPr>
    <w:rPr>
      <w:rFonts w:eastAsiaTheme="minorEastAsia" w:cs="Times New Roman"/>
      <w:bCs w:val="0"/>
      <w:color w:val="000000"/>
      <w:szCs w:val="22"/>
    </w:rPr>
  </w:style>
  <w:style w:type="paragraph" w:customStyle="1" w:styleId="aff0">
    <w:name w:val="图表格式"/>
    <w:basedOn w:val="6"/>
    <w:link w:val="Char"/>
    <w:qFormat/>
    <w:pPr>
      <w:spacing w:after="40" w:line="360" w:lineRule="auto"/>
    </w:pPr>
    <w:rPr>
      <w:rFonts w:ascii="Calibri" w:hAnsi="Calibri"/>
      <w:sz w:val="21"/>
      <w:szCs w:val="21"/>
    </w:rPr>
  </w:style>
  <w:style w:type="character" w:customStyle="1" w:styleId="Char">
    <w:name w:val="图表格式 Char"/>
    <w:link w:val="aff0"/>
    <w:qFormat/>
    <w:locked/>
    <w:rPr>
      <w:rFonts w:ascii="Calibri" w:hAnsi="Calibri" w:cs="Times New Roman"/>
      <w:b/>
      <w:bCs/>
      <w:szCs w:val="21"/>
    </w:rPr>
  </w:style>
  <w:style w:type="paragraph" w:customStyle="1" w:styleId="xl71">
    <w:name w:val="xl71"/>
    <w:basedOn w:val="a"/>
    <w:qFormat/>
    <w:pPr>
      <w:widowControl/>
      <w:pBdr>
        <w:top w:val="single" w:sz="8" w:space="0" w:color="4F81BD"/>
        <w:bottom w:val="single" w:sz="8" w:space="0" w:color="FFFFFF"/>
        <w:right w:val="single" w:sz="8" w:space="0" w:color="FFFFFF"/>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72">
    <w:name w:val="xl72"/>
    <w:basedOn w:val="a"/>
    <w:pPr>
      <w:widowControl/>
      <w:pBdr>
        <w:top w:val="single" w:sz="8" w:space="0" w:color="4F81BD"/>
        <w:bottom w:val="single" w:sz="8" w:space="0" w:color="FFFFFF"/>
        <w:right w:val="single" w:sz="8" w:space="0" w:color="4F81BD"/>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73">
    <w:name w:val="xl73"/>
    <w:basedOn w:val="a"/>
    <w:pPr>
      <w:widowControl/>
      <w:pBdr>
        <w:bottom w:val="single" w:sz="8" w:space="0" w:color="5B9BD5"/>
        <w:right w:val="single" w:sz="8" w:space="0" w:color="FFFFFF"/>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74">
    <w:name w:val="xl74"/>
    <w:basedOn w:val="a"/>
    <w:qFormat/>
    <w:pPr>
      <w:widowControl/>
      <w:pBdr>
        <w:bottom w:val="single" w:sz="8" w:space="0" w:color="5B9BD5"/>
        <w:right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75">
    <w:name w:val="xl75"/>
    <w:basedOn w:val="a"/>
    <w:pPr>
      <w:widowControl/>
      <w:pBdr>
        <w:bottom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76">
    <w:name w:val="xl76"/>
    <w:basedOn w:val="a"/>
    <w:qFormat/>
    <w:pPr>
      <w:widowControl/>
      <w:pBdr>
        <w:left w:val="single" w:sz="8" w:space="0" w:color="5B9BD5"/>
        <w:bottom w:val="single" w:sz="8" w:space="0" w:color="5B9BD5"/>
        <w:right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77">
    <w:name w:val="xl77"/>
    <w:basedOn w:val="a"/>
    <w:qFormat/>
    <w:pPr>
      <w:widowControl/>
      <w:pBdr>
        <w:left w:val="single" w:sz="8" w:space="0" w:color="5B9BD5"/>
        <w:bottom w:val="single" w:sz="8" w:space="0" w:color="5B9BD5"/>
        <w:right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78">
    <w:name w:val="xl78"/>
    <w:basedOn w:val="a"/>
    <w:qFormat/>
    <w:pPr>
      <w:widowControl/>
      <w:pBdr>
        <w:bottom w:val="single" w:sz="8" w:space="0" w:color="5B9BD5"/>
      </w:pBdr>
      <w:shd w:val="clear" w:color="000000" w:fill="DDEBF7"/>
      <w:spacing w:before="100" w:beforeAutospacing="1" w:after="100" w:afterAutospacing="1"/>
      <w:jc w:val="center"/>
    </w:pPr>
    <w:rPr>
      <w:rFonts w:ascii="微软雅黑" w:hAnsi="微软雅黑" w:cs="宋体"/>
      <w:color w:val="000000"/>
      <w:kern w:val="0"/>
      <w:sz w:val="18"/>
      <w:szCs w:val="18"/>
    </w:rPr>
  </w:style>
  <w:style w:type="paragraph" w:customStyle="1" w:styleId="xl79">
    <w:name w:val="xl79"/>
    <w:basedOn w:val="a"/>
    <w:qFormat/>
    <w:pPr>
      <w:widowControl/>
      <w:pBdr>
        <w:left w:val="single" w:sz="8" w:space="0" w:color="5B9BD5"/>
        <w:bottom w:val="single" w:sz="8" w:space="0" w:color="5B9BD5"/>
        <w:right w:val="single" w:sz="8" w:space="0" w:color="5B9BD5"/>
      </w:pBdr>
      <w:shd w:val="clear" w:color="000000" w:fill="DDEBF7"/>
      <w:spacing w:before="100" w:beforeAutospacing="1" w:after="100" w:afterAutospacing="1"/>
      <w:jc w:val="center"/>
    </w:pPr>
    <w:rPr>
      <w:rFonts w:ascii="微软雅黑" w:hAnsi="微软雅黑" w:cs="宋体"/>
      <w:color w:val="000000"/>
      <w:kern w:val="0"/>
      <w:sz w:val="18"/>
      <w:szCs w:val="18"/>
    </w:rPr>
  </w:style>
  <w:style w:type="paragraph" w:customStyle="1" w:styleId="xl80">
    <w:name w:val="xl80"/>
    <w:basedOn w:val="a"/>
    <w:qFormat/>
    <w:pPr>
      <w:widowControl/>
      <w:pBdr>
        <w:left w:val="single" w:sz="8" w:space="0" w:color="5B9BD5"/>
        <w:bottom w:val="single" w:sz="8" w:space="0" w:color="5B9BD5"/>
        <w:right w:val="single" w:sz="8" w:space="0" w:color="5B9BD5"/>
      </w:pBdr>
      <w:shd w:val="clear" w:color="000000" w:fill="DDEBF7"/>
      <w:spacing w:before="100" w:beforeAutospacing="1" w:after="100" w:afterAutospacing="1"/>
      <w:jc w:val="center"/>
    </w:pPr>
    <w:rPr>
      <w:rFonts w:ascii="微软雅黑" w:hAnsi="微软雅黑" w:cs="宋体"/>
      <w:color w:val="000000"/>
      <w:kern w:val="0"/>
      <w:sz w:val="18"/>
      <w:szCs w:val="18"/>
    </w:rPr>
  </w:style>
  <w:style w:type="paragraph" w:customStyle="1" w:styleId="xl81">
    <w:name w:val="xl81"/>
    <w:basedOn w:val="a"/>
    <w:qFormat/>
    <w:pPr>
      <w:widowControl/>
      <w:pBdr>
        <w:bottom w:val="single" w:sz="8" w:space="0" w:color="5B9BD5"/>
        <w:right w:val="single" w:sz="8" w:space="0" w:color="FFFFFF"/>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82">
    <w:name w:val="xl82"/>
    <w:basedOn w:val="a"/>
    <w:pPr>
      <w:widowControl/>
      <w:pBdr>
        <w:bottom w:val="single" w:sz="8" w:space="0" w:color="5B9BD5"/>
        <w:right w:val="single" w:sz="8" w:space="0" w:color="5B9BD5"/>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83">
    <w:name w:val="xl83"/>
    <w:basedOn w:val="a"/>
    <w:qFormat/>
    <w:pPr>
      <w:widowControl/>
      <w:pBdr>
        <w:left w:val="single" w:sz="8" w:space="0" w:color="5B9BD5"/>
        <w:right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84">
    <w:name w:val="xl84"/>
    <w:basedOn w:val="a"/>
    <w:qFormat/>
    <w:pPr>
      <w:widowControl/>
      <w:pBdr>
        <w:top w:val="single" w:sz="8" w:space="0" w:color="5B9BD5"/>
        <w:left w:val="single" w:sz="8" w:space="0" w:color="5B9BD5"/>
        <w:right w:val="single" w:sz="8" w:space="0" w:color="5B9BD5"/>
      </w:pBdr>
      <w:spacing w:before="100" w:beforeAutospacing="1" w:after="100" w:afterAutospacing="1"/>
      <w:jc w:val="center"/>
    </w:pPr>
    <w:rPr>
      <w:rFonts w:ascii="微软雅黑" w:hAnsi="微软雅黑" w:cs="宋体"/>
      <w:color w:val="000000"/>
      <w:kern w:val="0"/>
      <w:sz w:val="18"/>
      <w:szCs w:val="18"/>
    </w:rPr>
  </w:style>
  <w:style w:type="paragraph" w:customStyle="1" w:styleId="xl85">
    <w:name w:val="xl85"/>
    <w:basedOn w:val="a"/>
    <w:qFormat/>
    <w:pPr>
      <w:widowControl/>
      <w:pBdr>
        <w:top w:val="single" w:sz="8" w:space="0" w:color="5B9BD5"/>
        <w:left w:val="single" w:sz="8" w:space="0" w:color="5B9BD5"/>
        <w:bottom w:val="single" w:sz="8" w:space="0" w:color="5B9BD5"/>
      </w:pBdr>
      <w:shd w:val="clear" w:color="000000" w:fill="DDEBF7"/>
      <w:spacing w:before="100" w:beforeAutospacing="1" w:after="100" w:afterAutospacing="1"/>
      <w:jc w:val="center"/>
    </w:pPr>
    <w:rPr>
      <w:rFonts w:ascii="微软雅黑" w:hAnsi="微软雅黑" w:cs="宋体"/>
      <w:color w:val="000000"/>
      <w:kern w:val="0"/>
      <w:sz w:val="18"/>
      <w:szCs w:val="18"/>
    </w:rPr>
  </w:style>
  <w:style w:type="paragraph" w:customStyle="1" w:styleId="xl86">
    <w:name w:val="xl86"/>
    <w:basedOn w:val="a"/>
    <w:qFormat/>
    <w:pPr>
      <w:widowControl/>
      <w:pBdr>
        <w:top w:val="single" w:sz="8" w:space="0" w:color="5B9BD5"/>
        <w:bottom w:val="single" w:sz="8" w:space="0" w:color="5B9BD5"/>
        <w:right w:val="single" w:sz="8" w:space="0" w:color="5B9BD5"/>
      </w:pBdr>
      <w:shd w:val="clear" w:color="000000" w:fill="DDEBF7"/>
      <w:spacing w:before="100" w:beforeAutospacing="1" w:after="100" w:afterAutospacing="1"/>
      <w:jc w:val="center"/>
    </w:pPr>
    <w:rPr>
      <w:rFonts w:ascii="微软雅黑" w:hAnsi="微软雅黑" w:cs="宋体"/>
      <w:color w:val="000000"/>
      <w:kern w:val="0"/>
      <w:sz w:val="18"/>
      <w:szCs w:val="18"/>
    </w:rPr>
  </w:style>
  <w:style w:type="paragraph" w:customStyle="1" w:styleId="xl87">
    <w:name w:val="xl87"/>
    <w:basedOn w:val="a"/>
    <w:qFormat/>
    <w:pPr>
      <w:widowControl/>
      <w:pBdr>
        <w:top w:val="single" w:sz="8" w:space="0" w:color="5B9BD5"/>
        <w:left w:val="single" w:sz="8" w:space="0" w:color="5B9BD5"/>
        <w:bottom w:val="single" w:sz="8" w:space="0" w:color="5B9BD5"/>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paragraph" w:customStyle="1" w:styleId="xl88">
    <w:name w:val="xl88"/>
    <w:basedOn w:val="a"/>
    <w:qFormat/>
    <w:pPr>
      <w:widowControl/>
      <w:pBdr>
        <w:top w:val="single" w:sz="8" w:space="0" w:color="5B9BD5"/>
        <w:bottom w:val="single" w:sz="8" w:space="0" w:color="5B9BD5"/>
        <w:right w:val="single" w:sz="8" w:space="0" w:color="FFFFFF"/>
      </w:pBdr>
      <w:shd w:val="clear" w:color="000000" w:fill="5B9BD5"/>
      <w:spacing w:before="100" w:beforeAutospacing="1" w:after="100" w:afterAutospacing="1"/>
      <w:jc w:val="center"/>
    </w:pPr>
    <w:rPr>
      <w:rFonts w:ascii="微软雅黑" w:hAnsi="微软雅黑" w:cs="宋体"/>
      <w:b/>
      <w:bCs/>
      <w:color w:val="FFFFFF"/>
      <w:kern w:val="0"/>
      <w:sz w:val="18"/>
      <w:szCs w:val="18"/>
    </w:rPr>
  </w:style>
  <w:style w:type="character" w:customStyle="1" w:styleId="Char0">
    <w:name w:val="题干 Char"/>
    <w:link w:val="aff1"/>
    <w:qFormat/>
    <w:locked/>
    <w:rPr>
      <w:rFonts w:ascii="微软雅黑" w:hAnsi="微软雅黑"/>
      <w:b/>
      <w:sz w:val="32"/>
    </w:rPr>
  </w:style>
  <w:style w:type="paragraph" w:customStyle="1" w:styleId="aff1">
    <w:name w:val="题干"/>
    <w:basedOn w:val="3"/>
    <w:link w:val="Char0"/>
    <w:qFormat/>
    <w:pPr>
      <w:spacing w:before="80" w:after="0" w:line="360" w:lineRule="auto"/>
      <w:ind w:leftChars="100" w:left="100" w:rightChars="100" w:right="100"/>
    </w:pPr>
    <w:rPr>
      <w:rFonts w:ascii="微软雅黑" w:eastAsiaTheme="minorEastAsia" w:hAnsi="微软雅黑"/>
      <w:bCs w:val="0"/>
      <w:szCs w:val="22"/>
    </w:rPr>
  </w:style>
  <w:style w:type="paragraph" w:customStyle="1" w:styleId="aff2">
    <w:name w:val="题支"/>
    <w:qFormat/>
    <w:pPr>
      <w:shd w:val="clear" w:color="auto" w:fill="FFFFFF"/>
      <w:spacing w:line="240" w:lineRule="exact"/>
      <w:ind w:leftChars="200" w:left="200" w:rightChars="100" w:right="100"/>
    </w:pPr>
    <w:rPr>
      <w:rFonts w:ascii="MS Mincho" w:eastAsia="MS Mincho" w:cs="MS Mincho"/>
      <w:color w:val="333333"/>
      <w:sz w:val="21"/>
      <w:szCs w:val="28"/>
    </w:rPr>
  </w:style>
  <w:style w:type="paragraph" w:customStyle="1" w:styleId="aff3">
    <w:name w:val="问卷"/>
    <w:basedOn w:val="aff1"/>
    <w:link w:val="Char1"/>
    <w:qFormat/>
    <w:pPr>
      <w:ind w:leftChars="0" w:left="0"/>
      <w:jc w:val="left"/>
    </w:pPr>
    <w:rPr>
      <w:rFonts w:ascii="Times New Roman" w:hAnsi="Times New Roman"/>
      <w:color w:val="333333"/>
    </w:rPr>
  </w:style>
  <w:style w:type="character" w:customStyle="1" w:styleId="Char1">
    <w:name w:val="问卷 Char"/>
    <w:link w:val="aff3"/>
    <w:locked/>
    <w:rPr>
      <w:rFonts w:ascii="Times New Roman" w:hAnsi="Times New Roman"/>
      <w:b/>
      <w:color w:val="333333"/>
      <w:sz w:val="24"/>
    </w:rPr>
  </w:style>
  <w:style w:type="paragraph" w:customStyle="1" w:styleId="aff4">
    <w:name w:val="第二级标题"/>
    <w:basedOn w:val="a"/>
    <w:link w:val="Char2"/>
    <w:qFormat/>
    <w:pPr>
      <w:spacing w:beforeLines="50" w:afterLines="50"/>
      <w:jc w:val="left"/>
      <w:outlineLvl w:val="1"/>
    </w:pPr>
    <w:rPr>
      <w:rFonts w:asciiTheme="minorEastAsia"/>
      <w:b/>
      <w:sz w:val="28"/>
    </w:rPr>
  </w:style>
  <w:style w:type="character" w:customStyle="1" w:styleId="Char2">
    <w:name w:val="第二级标题 Char"/>
    <w:basedOn w:val="a0"/>
    <w:link w:val="aff4"/>
    <w:qFormat/>
    <w:rPr>
      <w:rFonts w:asciiTheme="minorEastAsia"/>
      <w:b/>
      <w:sz w:val="28"/>
    </w:rPr>
  </w:style>
  <w:style w:type="paragraph" w:customStyle="1" w:styleId="aff5">
    <w:name w:val="报告内文"/>
    <w:basedOn w:val="a"/>
    <w:link w:val="Char3"/>
    <w:qFormat/>
    <w:pPr>
      <w:spacing w:before="120" w:after="120"/>
      <w:ind w:firstLineChars="200" w:firstLine="200"/>
    </w:pPr>
    <w:rPr>
      <w:rFonts w:asciiTheme="minorEastAsia"/>
      <w:sz w:val="24"/>
    </w:rPr>
  </w:style>
  <w:style w:type="character" w:customStyle="1" w:styleId="Char3">
    <w:name w:val="报告内文 Char"/>
    <w:basedOn w:val="a0"/>
    <w:link w:val="aff5"/>
    <w:qFormat/>
    <w:rPr>
      <w:rFonts w:asciiTheme="minorEastAsia"/>
      <w:sz w:val="24"/>
    </w:rPr>
  </w:style>
  <w:style w:type="paragraph" w:customStyle="1" w:styleId="aff6">
    <w:name w:val="图表标题"/>
    <w:basedOn w:val="a3"/>
    <w:link w:val="Char4"/>
    <w:qFormat/>
    <w:pPr>
      <w:widowControl w:val="0"/>
      <w:spacing w:line="240" w:lineRule="auto"/>
    </w:pPr>
    <w:rPr>
      <w:rFonts w:hAnsiTheme="majorHAnsi" w:cstheme="majorBidi"/>
    </w:rPr>
  </w:style>
  <w:style w:type="character" w:customStyle="1" w:styleId="Char4">
    <w:name w:val="图表标题 Char"/>
    <w:basedOn w:val="a0"/>
    <w:link w:val="aff6"/>
    <w:qFormat/>
    <w:rPr>
      <w:rFonts w:ascii="宋体" w:hAnsiTheme="majorHAnsi" w:cstheme="majorBidi"/>
      <w:sz w:val="18"/>
      <w:szCs w:val="20"/>
    </w:rPr>
  </w:style>
  <w:style w:type="paragraph" w:customStyle="1" w:styleId="aff7">
    <w:name w:val="报告正文样式"/>
    <w:basedOn w:val="a"/>
    <w:link w:val="Char5"/>
    <w:uiPriority w:val="99"/>
    <w:qFormat/>
    <w:pPr>
      <w:widowControl/>
      <w:spacing w:beforeLines="50" w:afterLines="50"/>
      <w:ind w:firstLineChars="200" w:firstLine="200"/>
    </w:pPr>
    <w:rPr>
      <w:rFonts w:asciiTheme="minorEastAsia" w:hAnsiTheme="minorEastAsia" w:cs="宋体"/>
      <w:color w:val="000000" w:themeColor="text1"/>
      <w:kern w:val="0"/>
      <w:sz w:val="24"/>
      <w:szCs w:val="28"/>
    </w:rPr>
  </w:style>
  <w:style w:type="character" w:customStyle="1" w:styleId="Char5">
    <w:name w:val="报告正文样式 Char"/>
    <w:basedOn w:val="a0"/>
    <w:link w:val="aff7"/>
    <w:uiPriority w:val="99"/>
    <w:qFormat/>
    <w:rPr>
      <w:rFonts w:asciiTheme="minorEastAsia" w:hAnsiTheme="minorEastAsia" w:cs="宋体"/>
      <w:color w:val="000000" w:themeColor="text1"/>
      <w:kern w:val="0"/>
      <w:sz w:val="24"/>
      <w:szCs w:val="28"/>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customStyle="1" w:styleId="aff8">
    <w:name w:val="论文正文"/>
    <w:basedOn w:val="a"/>
    <w:qFormat/>
    <w:pPr>
      <w:spacing w:line="300" w:lineRule="auto"/>
      <w:ind w:firstLineChars="200" w:firstLine="200"/>
    </w:pPr>
    <w:rPr>
      <w:rFonts w:asciiTheme="minorHAnsi" w:eastAsiaTheme="minorEastAsia" w:hAnsiTheme="minorHAnsi"/>
      <w:sz w:val="24"/>
    </w:rPr>
  </w:style>
  <w:style w:type="character" w:customStyle="1" w:styleId="aa">
    <w:name w:val="尾注文本 字符"/>
    <w:basedOn w:val="a0"/>
    <w:link w:val="a9"/>
    <w:uiPriority w:val="99"/>
    <w:semiHidden/>
    <w:rPr>
      <w:rFonts w:ascii="Times New Roman" w:eastAsia="宋体" w:hAnsi="Times New Roman"/>
    </w:rPr>
  </w:style>
  <w:style w:type="paragraph" w:customStyle="1" w:styleId="17">
    <w:name w:val="修订1"/>
    <w:hidden/>
    <w:uiPriority w:val="99"/>
    <w:semiHidden/>
    <w:rPr>
      <w:rFonts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chart" Target="charts/chart7.xml" /><Relationship Id="rId21" Type="http://schemas.openxmlformats.org/officeDocument/2006/relationships/image" Target="media/image9.png" /><Relationship Id="rId42" Type="http://schemas.openxmlformats.org/officeDocument/2006/relationships/chart" Target="charts/chart21.xml" /><Relationship Id="rId47" Type="http://schemas.openxmlformats.org/officeDocument/2006/relationships/chart" Target="charts/chart26.xml" /><Relationship Id="rId63" Type="http://schemas.openxmlformats.org/officeDocument/2006/relationships/chart" Target="charts/chart41.xml" /><Relationship Id="rId68" Type="http://schemas.openxmlformats.org/officeDocument/2006/relationships/chart" Target="charts/chart46.xml" /><Relationship Id="rId84" Type="http://schemas.openxmlformats.org/officeDocument/2006/relationships/chart" Target="charts/chart60.xml" /><Relationship Id="rId89" Type="http://schemas.openxmlformats.org/officeDocument/2006/relationships/chart" Target="charts/chart65.xml" /><Relationship Id="rId7" Type="http://schemas.openxmlformats.org/officeDocument/2006/relationships/footnotes" Target="footnotes.xml" /><Relationship Id="rId71" Type="http://schemas.openxmlformats.org/officeDocument/2006/relationships/image" Target="media/image15.png" /><Relationship Id="rId92" Type="http://schemas.openxmlformats.org/officeDocument/2006/relationships/chart" Target="charts/chart68.xml" /><Relationship Id="rId2" Type="http://schemas.openxmlformats.org/officeDocument/2006/relationships/customXml" Target="../customXml/item2.xml" /><Relationship Id="rId16" Type="http://schemas.openxmlformats.org/officeDocument/2006/relationships/chart" Target="charts/chart2.xml" /><Relationship Id="rId29" Type="http://schemas.openxmlformats.org/officeDocument/2006/relationships/chart" Target="charts/chart10.xml" /><Relationship Id="rId11" Type="http://schemas.openxmlformats.org/officeDocument/2006/relationships/footer" Target="footer1.xml" /><Relationship Id="rId24" Type="http://schemas.openxmlformats.org/officeDocument/2006/relationships/image" Target="media/image11.png" /><Relationship Id="rId32" Type="http://schemas.openxmlformats.org/officeDocument/2006/relationships/chart" Target="charts/chart13.xml" /><Relationship Id="rId37" Type="http://schemas.openxmlformats.org/officeDocument/2006/relationships/chart" Target="charts/chart16.xml" /><Relationship Id="rId40" Type="http://schemas.openxmlformats.org/officeDocument/2006/relationships/chart" Target="charts/chart19.xml" /><Relationship Id="rId45" Type="http://schemas.openxmlformats.org/officeDocument/2006/relationships/chart" Target="charts/chart24.xml" /><Relationship Id="rId53" Type="http://schemas.openxmlformats.org/officeDocument/2006/relationships/chart" Target="charts/chart32.xml" /><Relationship Id="rId58" Type="http://schemas.openxmlformats.org/officeDocument/2006/relationships/chart" Target="charts/chart36.xml" /><Relationship Id="rId66" Type="http://schemas.openxmlformats.org/officeDocument/2006/relationships/chart" Target="charts/chart44.xml" /><Relationship Id="rId74" Type="http://schemas.openxmlformats.org/officeDocument/2006/relationships/image" Target="media/image16.png" /><Relationship Id="rId79" Type="http://schemas.openxmlformats.org/officeDocument/2006/relationships/chart" Target="charts/chart55.xml" /><Relationship Id="rId87" Type="http://schemas.openxmlformats.org/officeDocument/2006/relationships/chart" Target="charts/chart63.xml" /><Relationship Id="rId102" Type="http://schemas.openxmlformats.org/officeDocument/2006/relationships/footer" Target="footer3.xml" /><Relationship Id="rId5" Type="http://schemas.openxmlformats.org/officeDocument/2006/relationships/settings" Target="settings.xml" /><Relationship Id="rId61" Type="http://schemas.openxmlformats.org/officeDocument/2006/relationships/chart" Target="charts/chart39.xml" /><Relationship Id="rId82" Type="http://schemas.openxmlformats.org/officeDocument/2006/relationships/chart" Target="charts/chart58.xml" /><Relationship Id="rId90" Type="http://schemas.openxmlformats.org/officeDocument/2006/relationships/chart" Target="charts/chart66.xml" /><Relationship Id="rId95" Type="http://schemas.openxmlformats.org/officeDocument/2006/relationships/chart" Target="charts/chart71.xml" /><Relationship Id="rId19" Type="http://schemas.openxmlformats.org/officeDocument/2006/relationships/chart" Target="charts/chart4.xml" /><Relationship Id="rId14" Type="http://schemas.openxmlformats.org/officeDocument/2006/relationships/image" Target="media/image6.png" /><Relationship Id="rId22" Type="http://schemas.openxmlformats.org/officeDocument/2006/relationships/chart" Target="charts/chart5.xml" /><Relationship Id="rId27" Type="http://schemas.openxmlformats.org/officeDocument/2006/relationships/chart" Target="charts/chart8.xml" /><Relationship Id="rId30" Type="http://schemas.openxmlformats.org/officeDocument/2006/relationships/chart" Target="charts/chart11.xml" /><Relationship Id="rId35" Type="http://schemas.openxmlformats.org/officeDocument/2006/relationships/image" Target="media/image12.png" /><Relationship Id="rId43" Type="http://schemas.openxmlformats.org/officeDocument/2006/relationships/chart" Target="charts/chart22.xml" /><Relationship Id="rId48" Type="http://schemas.openxmlformats.org/officeDocument/2006/relationships/chart" Target="charts/chart27.xml" /><Relationship Id="rId56" Type="http://schemas.openxmlformats.org/officeDocument/2006/relationships/chart" Target="charts/chart35.xml" /><Relationship Id="rId64" Type="http://schemas.openxmlformats.org/officeDocument/2006/relationships/chart" Target="charts/chart42.xml" /><Relationship Id="rId69" Type="http://schemas.openxmlformats.org/officeDocument/2006/relationships/chart" Target="charts/chart47.xml" /><Relationship Id="rId77" Type="http://schemas.openxmlformats.org/officeDocument/2006/relationships/chart" Target="charts/chart53.xml" /><Relationship Id="rId100" Type="http://schemas.openxmlformats.org/officeDocument/2006/relationships/chart" Target="charts/chart76.xml" /><Relationship Id="rId8" Type="http://schemas.openxmlformats.org/officeDocument/2006/relationships/endnotes" Target="endnotes.xml" /><Relationship Id="rId51" Type="http://schemas.openxmlformats.org/officeDocument/2006/relationships/chart" Target="charts/chart30.xml" /><Relationship Id="rId72" Type="http://schemas.openxmlformats.org/officeDocument/2006/relationships/chart" Target="charts/chart49.xml" /><Relationship Id="rId80" Type="http://schemas.openxmlformats.org/officeDocument/2006/relationships/chart" Target="charts/chart56.xml" /><Relationship Id="rId85" Type="http://schemas.openxmlformats.org/officeDocument/2006/relationships/chart" Target="charts/chart61.xml" /><Relationship Id="rId93" Type="http://schemas.openxmlformats.org/officeDocument/2006/relationships/chart" Target="charts/chart69.xml" /><Relationship Id="rId98" Type="http://schemas.openxmlformats.org/officeDocument/2006/relationships/chart" Target="charts/chart74.xml" /><Relationship Id="rId3" Type="http://schemas.openxmlformats.org/officeDocument/2006/relationships/numbering" Target="numbering.xml" /><Relationship Id="rId12" Type="http://schemas.openxmlformats.org/officeDocument/2006/relationships/header" Target="header2.xml" /><Relationship Id="rId17" Type="http://schemas.openxmlformats.org/officeDocument/2006/relationships/image" Target="media/image7.png" /><Relationship Id="rId25" Type="http://schemas.openxmlformats.org/officeDocument/2006/relationships/chart" Target="charts/chart6.xml" /><Relationship Id="rId33" Type="http://schemas.openxmlformats.org/officeDocument/2006/relationships/chart" Target="charts/chart14.xml" /><Relationship Id="rId38" Type="http://schemas.openxmlformats.org/officeDocument/2006/relationships/chart" Target="charts/chart17.xml" /><Relationship Id="rId46" Type="http://schemas.openxmlformats.org/officeDocument/2006/relationships/chart" Target="charts/chart25.xml" /><Relationship Id="rId59" Type="http://schemas.openxmlformats.org/officeDocument/2006/relationships/chart" Target="charts/chart37.xml" /><Relationship Id="rId67" Type="http://schemas.openxmlformats.org/officeDocument/2006/relationships/chart" Target="charts/chart45.xml" /><Relationship Id="rId103" Type="http://schemas.openxmlformats.org/officeDocument/2006/relationships/fontTable" Target="fontTable.xml" /><Relationship Id="rId20" Type="http://schemas.openxmlformats.org/officeDocument/2006/relationships/image" Target="media/image8.png" /><Relationship Id="rId41" Type="http://schemas.openxmlformats.org/officeDocument/2006/relationships/chart" Target="charts/chart20.xml" /><Relationship Id="rId54" Type="http://schemas.openxmlformats.org/officeDocument/2006/relationships/chart" Target="charts/chart33.xml" /><Relationship Id="rId62" Type="http://schemas.openxmlformats.org/officeDocument/2006/relationships/chart" Target="charts/chart40.xml" /><Relationship Id="rId70" Type="http://schemas.openxmlformats.org/officeDocument/2006/relationships/chart" Target="charts/chart48.xml" /><Relationship Id="rId75" Type="http://schemas.openxmlformats.org/officeDocument/2006/relationships/chart" Target="charts/chart51.xml" /><Relationship Id="rId83" Type="http://schemas.openxmlformats.org/officeDocument/2006/relationships/chart" Target="charts/chart59.xml" /><Relationship Id="rId88" Type="http://schemas.openxmlformats.org/officeDocument/2006/relationships/chart" Target="charts/chart64.xml" /><Relationship Id="rId91" Type="http://schemas.openxmlformats.org/officeDocument/2006/relationships/chart" Target="charts/chart67.xml" /><Relationship Id="rId96" Type="http://schemas.openxmlformats.org/officeDocument/2006/relationships/chart" Target="charts/chart72.xml" /><Relationship Id="rId1" Type="http://schemas.openxmlformats.org/officeDocument/2006/relationships/customXml" Target="../customXml/item1.xml" /><Relationship Id="rId6" Type="http://schemas.openxmlformats.org/officeDocument/2006/relationships/webSettings" Target="webSettings.xml" /><Relationship Id="rId15" Type="http://schemas.openxmlformats.org/officeDocument/2006/relationships/chart" Target="charts/chart1.xml" /><Relationship Id="rId23" Type="http://schemas.openxmlformats.org/officeDocument/2006/relationships/image" Target="media/image10.png" /><Relationship Id="rId28" Type="http://schemas.openxmlformats.org/officeDocument/2006/relationships/chart" Target="charts/chart9.xml" /><Relationship Id="rId36" Type="http://schemas.openxmlformats.org/officeDocument/2006/relationships/image" Target="media/image13.png" /><Relationship Id="rId49" Type="http://schemas.openxmlformats.org/officeDocument/2006/relationships/chart" Target="charts/chart28.xml" /><Relationship Id="rId57" Type="http://schemas.openxmlformats.org/officeDocument/2006/relationships/image" Target="media/image14.png" /><Relationship Id="rId10" Type="http://schemas.openxmlformats.org/officeDocument/2006/relationships/header" Target="header1.xml" /><Relationship Id="rId31" Type="http://schemas.openxmlformats.org/officeDocument/2006/relationships/chart" Target="charts/chart12.xml" /><Relationship Id="rId44" Type="http://schemas.openxmlformats.org/officeDocument/2006/relationships/chart" Target="charts/chart23.xml" /><Relationship Id="rId52" Type="http://schemas.openxmlformats.org/officeDocument/2006/relationships/chart" Target="charts/chart31.xml" /><Relationship Id="rId60" Type="http://schemas.openxmlformats.org/officeDocument/2006/relationships/chart" Target="charts/chart38.xml" /><Relationship Id="rId65" Type="http://schemas.openxmlformats.org/officeDocument/2006/relationships/chart" Target="charts/chart43.xml" /><Relationship Id="rId73" Type="http://schemas.openxmlformats.org/officeDocument/2006/relationships/chart" Target="charts/chart50.xml" /><Relationship Id="rId78" Type="http://schemas.openxmlformats.org/officeDocument/2006/relationships/chart" Target="charts/chart54.xml" /><Relationship Id="rId81" Type="http://schemas.openxmlformats.org/officeDocument/2006/relationships/chart" Target="charts/chart57.xml" /><Relationship Id="rId86" Type="http://schemas.openxmlformats.org/officeDocument/2006/relationships/chart" Target="charts/chart62.xml" /><Relationship Id="rId94" Type="http://schemas.openxmlformats.org/officeDocument/2006/relationships/chart" Target="charts/chart70.xml" /><Relationship Id="rId99" Type="http://schemas.openxmlformats.org/officeDocument/2006/relationships/chart" Target="charts/chart75.xml" /><Relationship Id="rId101" Type="http://schemas.openxmlformats.org/officeDocument/2006/relationships/image" Target="media/image17.png" /><Relationship Id="rId4" Type="http://schemas.openxmlformats.org/officeDocument/2006/relationships/styles" Target="styles.xml" /><Relationship Id="rId9" Type="http://schemas.openxmlformats.org/officeDocument/2006/relationships/image" Target="media/image1.png" /><Relationship Id="rId13" Type="http://schemas.openxmlformats.org/officeDocument/2006/relationships/footer" Target="footer2.xml" /><Relationship Id="rId18" Type="http://schemas.openxmlformats.org/officeDocument/2006/relationships/chart" Target="charts/chart3.xml" /><Relationship Id="rId39" Type="http://schemas.openxmlformats.org/officeDocument/2006/relationships/chart" Target="charts/chart18.xml" /><Relationship Id="rId34" Type="http://schemas.openxmlformats.org/officeDocument/2006/relationships/chart" Target="charts/chart15.xml" /><Relationship Id="rId50" Type="http://schemas.openxmlformats.org/officeDocument/2006/relationships/chart" Target="charts/chart29.xml" /><Relationship Id="rId55" Type="http://schemas.openxmlformats.org/officeDocument/2006/relationships/chart" Target="charts/chart34.xml" /><Relationship Id="rId76" Type="http://schemas.openxmlformats.org/officeDocument/2006/relationships/chart" Target="charts/chart52.xml" /><Relationship Id="rId97" Type="http://schemas.openxmlformats.org/officeDocument/2006/relationships/chart" Target="charts/chart73.xml" /><Relationship Id="rId104" Type="http://schemas.openxmlformats.org/officeDocument/2006/relationships/theme" Target="theme/theme1.xml" /></Relationships>
</file>

<file path=word/_rels/header2.xml.rels><?xml version="1.0" encoding="UTF-8" standalone="yes"?>
<Relationships xmlns="http://schemas.openxmlformats.org/package/2006/relationships"><Relationship Id="rId3" Type="http://schemas.openxmlformats.org/officeDocument/2006/relationships/image" Target="media/image4.jpeg" /><Relationship Id="rId2" Type="http://schemas.openxmlformats.org/officeDocument/2006/relationships/image" Target="media/image3.png" /><Relationship Id="rId1" Type="http://schemas.openxmlformats.org/officeDocument/2006/relationships/image" Target="media/image2.jpeg" /><Relationship Id="rId4" Type="http://schemas.openxmlformats.org/officeDocument/2006/relationships/image" Target="media/image5.png" /></Relationships>
</file>

<file path=word/charts/_rels/chart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6.xml.rels><?xml version="1.0" encoding="UTF-8" standalone="yes"?>
<Relationships xmlns="http://schemas.openxmlformats.org/package/2006/relationships"><Relationship Id="rId1" Type="http://schemas.openxmlformats.org/officeDocument/2006/relationships/oleObject" Target="file:///G:\&#35895;&#27468;&#19979;&#36733;&#25991;&#20214;\5f57d18a31b42f68d611cb8248fc0b07.xls" TargetMode="External" /></Relationships>
</file>

<file path=word/charts/_rels/chart7.xml.rels><?xml version="1.0" encoding="UTF-8" standalone="yes"?>
<Relationships xmlns="http://schemas.openxmlformats.org/package/2006/relationships"><Relationship Id="rId1" Type="http://schemas.openxmlformats.org/officeDocument/2006/relationships/oleObject" Target="file:///G:\&#35895;&#27468;&#19979;&#36733;&#25991;&#20214;\5f57d18a31b42f68d611cb8248fc0b07.xls" TargetMode="External" /></Relationships>
</file>

<file path=word/charts/_rels/chart8.xml.rels><?xml version="1.0" encoding="UTF-8" standalone="yes"?>
<Relationships xmlns="http://schemas.openxmlformats.org/package/2006/relationships"><Relationship Id="rId1" Type="http://schemas.openxmlformats.org/officeDocument/2006/relationships/oleObject" Target="file:///G:\&#35895;&#27468;&#19979;&#36733;&#25991;&#20214;\5f57d18a31b42f68d611cb8248fc0b07.xls" TargetMode="External" /></Relationships>
</file>

<file path=word/charts/_rels/chart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1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2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3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4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5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5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5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5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5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5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5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5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5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5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7.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8.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69.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70.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9992;&#20154;&#21333;&#20301;&#38382;&#21367;.xls" TargetMode="External" /></Relationships>
</file>

<file path=word/charts/_rels/chart71.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72.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73.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74.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3601;&#19994;&#25968;&#25454;.xlsx" TargetMode="External" /></Relationships>
</file>

<file path=word/charts/_rels/chart75.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_rels/chart76.xml.rels><?xml version="1.0" encoding="UTF-8" standalone="yes"?>
<Relationships xmlns="http://schemas.openxmlformats.org/package/2006/relationships"><Relationship Id="rId1" Type="http://schemas.openxmlformats.org/officeDocument/2006/relationships/oleObject" Target="file:///F:\ProgramData\&#27743;&#35199;&#36130;&#32463;&#22823;&#23398;\&#27743;&#35199;&#36130;&#32463;&#22823;&#23398;2019&#24180;&#27605;&#19994;&#29983;&#23601;&#19994;&#36136;&#37327;&#35843;&#30740;&#38382;&#21367;.xlsx" TargetMode="Externa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规模!$Y$1</c:f>
              <c:strCache>
                <c:ptCount val="1"/>
                <c:pt idx="0">
                  <c:v>江西籍</c:v>
                </c:pt>
              </c:strCache>
            </c:strRef>
          </c:tx>
          <c:spPr>
            <a:solidFill>
              <a:srgbClr val="D00E2C"/>
            </a:solidFill>
            <a:ln>
              <a:solidFill>
                <a:sysClr val="windowText" lastClr="000000"/>
              </a:solidFill>
            </a:ln>
            <a:effectLst/>
          </c:spPr>
          <c:invertIfNegative val="0"/>
          <c:dLbls>
            <c:dLbl>
              <c:idx val="0"/>
              <c:tx>
                <c:rich>
                  <a:bodyPr/>
                  <a:lstStyle/>
                  <a:p>
                    <a:fld id="{4A96D7D6-9E97-42EC-B5FB-CF5066C6655E}" type="CELLRANGE">
                      <a:rPr/>
                      <a:pPr/>
                      <a:t>[CELLRANGE]</a:t>
                    </a:fld>
                    <a:r>
                      <a:t>,</a:t>
                    </a:r>
                    <a:fld id="{80AEEE63-4B31-4490-8477-84EE10BFA58E}"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1"/>
              <c:tx>
                <c:rich>
                  <a:bodyPr/>
                  <a:lstStyle/>
                  <a:p>
                    <a:fld id="{ED9549A8-2ED6-4F57-A2AA-94A353A5F7DA}" type="CELLRANGE">
                      <a:rPr/>
                      <a:pPr/>
                      <a:t>[CELLRANGE]</a:t>
                    </a:fld>
                    <a:r>
                      <a:t>,</a:t>
                    </a:r>
                    <a:fld id="{7B129D7B-44A2-4182-8B3B-E6E980DFF3B4}"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2"/>
              <c:tx>
                <c:rich>
                  <a:bodyPr/>
                  <a:lstStyle/>
                  <a:p>
                    <a:fld id="{C49B3BC3-D388-4FC8-803F-CE9994C23540}" type="CELLRANGE">
                      <a:rPr/>
                      <a:pPr/>
                      <a:t>[CELLRANGE]</a:t>
                    </a:fld>
                    <a:r>
                      <a:t>,</a:t>
                    </a:r>
                    <a:fld id="{8E1B3FE7-5A7B-401F-AB4C-062A12FD27A0}"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prstDash val="solid"/>
                      <a:round/>
                    </a:ln>
                    <a:effectLst/>
                  </c:spPr>
                </c15:leaderLines>
              </c:ext>
            </c:extLst>
          </c:dLbls>
          <c:cat>
            <c:strRef>
              <c:f>规模!$X$2:$X$4</c:f>
              <c:strCache>
                <c:ptCount val="3"/>
                <c:pt idx="0">
                  <c:v>2017届</c:v>
                </c:pt>
                <c:pt idx="1">
                  <c:v>2018届</c:v>
                </c:pt>
                <c:pt idx="2">
                  <c:v>2019届</c:v>
                </c:pt>
              </c:strCache>
            </c:strRef>
          </c:cat>
          <c:val>
            <c:numRef>
              <c:f>规模!$Y$2:$Y$4</c:f>
              <c:numCache>
                <c:formatCode>0.00%</c:formatCode>
                <c:ptCount val="3"/>
                <c:pt idx="0">
                  <c:v>0.58670404485382499</c:v>
                </c:pt>
                <c:pt idx="1">
                  <c:v>0.59425036390101804</c:v>
                </c:pt>
                <c:pt idx="2">
                  <c:v>0.58550837553564405</c:v>
                </c:pt>
              </c:numCache>
            </c:numRef>
          </c:val>
          <c:extLst>
            <c:ext xmlns:c15="http://schemas.microsoft.com/office/drawing/2012/chart" uri="{02D57815-91ED-43cb-92C2-25804820EDAC}">
              <c15:datalabelsRange>
                <c15:f>规模!$AC$2:$AC$4</c15:f>
                <c15:dlblRangeCache>
                  <c:ptCount val="3"/>
                  <c:pt idx="0">
                    <c:v>2930</c:v>
                  </c:pt>
                  <c:pt idx="1">
                    <c:v>3266</c:v>
                  </c:pt>
                  <c:pt idx="2">
                    <c:v>3006</c:v>
                  </c:pt>
                </c15:dlblRangeCache>
              </c15:datalabelsRange>
            </c:ext>
            <c:ext xmlns:c16="http://schemas.microsoft.com/office/drawing/2014/chart" uri="{C3380CC4-5D6E-409C-BE32-E72D297353CC}">
              <c16:uniqueId val="{00000000-C083-2A49-98D0-7A28F348E314}"/>
            </c:ext>
          </c:extLst>
        </c:ser>
        <c:ser>
          <c:idx val="1"/>
          <c:order val="1"/>
          <c:tx>
            <c:strRef>
              <c:f>规模!$Z$1</c:f>
              <c:strCache>
                <c:ptCount val="1"/>
                <c:pt idx="0">
                  <c:v>非江西籍</c:v>
                </c:pt>
              </c:strCache>
            </c:strRef>
          </c:tx>
          <c:spPr>
            <a:solidFill>
              <a:srgbClr val="FFD1D1"/>
            </a:solidFill>
            <a:ln>
              <a:solidFill>
                <a:sysClr val="windowText" lastClr="000000"/>
              </a:solidFill>
            </a:ln>
            <a:effectLst/>
          </c:spPr>
          <c:invertIfNegative val="0"/>
          <c:dLbls>
            <c:dLbl>
              <c:idx val="0"/>
              <c:tx>
                <c:rich>
                  <a:bodyPr/>
                  <a:lstStyle/>
                  <a:p>
                    <a:fld id="{7ADCBC6D-2742-4766-9BC2-5CA3EC52A6B4}" type="CELLRANGE">
                      <a:rPr/>
                      <a:pPr/>
                      <a:t>[CELLRANGE]</a:t>
                    </a:fld>
                    <a:r>
                      <a:t>,</a:t>
                    </a:r>
                    <a:fld id="{1B859781-EA01-4507-87E8-6648EA88567C}"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1"/>
              <c:tx>
                <c:rich>
                  <a:bodyPr/>
                  <a:lstStyle/>
                  <a:p>
                    <a:fld id="{D78CC75F-C8BE-400D-B8E0-45C060325F8C}" type="CELLRANGE">
                      <a:rPr/>
                      <a:pPr/>
                      <a:t>[CELLRANGE]</a:t>
                    </a:fld>
                    <a:r>
                      <a:t>,</a:t>
                    </a:r>
                    <a:fld id="{6375DC10-4C0A-4332-B4D6-C71FE6DEB77C}"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2"/>
              <c:tx>
                <c:rich>
                  <a:bodyPr/>
                  <a:lstStyle/>
                  <a:p>
                    <a:fld id="{0AA06BF4-EBC9-41E1-B0FC-56983D34CB27}" type="CELLRANGE">
                      <a:rPr/>
                      <a:pPr/>
                      <a:t>[CELLRANGE]</a:t>
                    </a:fld>
                    <a:r>
                      <a:t>,</a:t>
                    </a:r>
                    <a:fld id="{9B99833A-A3CF-4DB6-B6ED-0CBA68BF6C60}" type="VALUE">
                      <a:rPr lang="zh-CN" altLang="en-US"/>
                      <a:pPr/>
                      <a:t>[值]</a:t>
                    </a:fld>
                    <a:endParaRP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prstDash val="solid"/>
                      <a:round/>
                    </a:ln>
                    <a:effectLst/>
                  </c:spPr>
                </c15:leaderLines>
              </c:ext>
            </c:extLst>
          </c:dLbls>
          <c:cat>
            <c:strRef>
              <c:f>规模!$X$2:$X$4</c:f>
              <c:strCache>
                <c:ptCount val="3"/>
                <c:pt idx="0">
                  <c:v>2017届</c:v>
                </c:pt>
                <c:pt idx="1">
                  <c:v>2018届</c:v>
                </c:pt>
                <c:pt idx="2">
                  <c:v>2019届</c:v>
                </c:pt>
              </c:strCache>
            </c:strRef>
          </c:cat>
          <c:val>
            <c:numRef>
              <c:f>规模!$Z$2:$Z$4</c:f>
              <c:numCache>
                <c:formatCode>0.00%</c:formatCode>
                <c:ptCount val="3"/>
                <c:pt idx="0">
                  <c:v>0.41329595514617501</c:v>
                </c:pt>
                <c:pt idx="1">
                  <c:v>0.40574963609898101</c:v>
                </c:pt>
                <c:pt idx="2">
                  <c:v>0.414491624464355</c:v>
                </c:pt>
              </c:numCache>
            </c:numRef>
          </c:val>
          <c:extLst>
            <c:ext xmlns:c15="http://schemas.microsoft.com/office/drawing/2012/chart" uri="{02D57815-91ED-43cb-92C2-25804820EDAC}">
              <c15:datalabelsRange>
                <c15:f>规模!$AD$2:$AD$4</c15:f>
                <c15:dlblRangeCache>
                  <c:ptCount val="3"/>
                  <c:pt idx="0">
                    <c:v>2064</c:v>
                  </c:pt>
                  <c:pt idx="1">
                    <c:v>2230</c:v>
                  </c:pt>
                  <c:pt idx="2">
                    <c:v>2128</c:v>
                  </c:pt>
                </c15:dlblRangeCache>
              </c15:datalabelsRange>
            </c:ext>
            <c:ext xmlns:c16="http://schemas.microsoft.com/office/drawing/2014/chart" uri="{C3380CC4-5D6E-409C-BE32-E72D297353CC}">
              <c16:uniqueId val="{00000001-C083-2A49-98D0-7A28F348E314}"/>
            </c:ext>
          </c:extLst>
        </c:ser>
        <c:dLbls>
          <c:showLegendKey val="0"/>
          <c:showVal val="1"/>
          <c:showCatName val="0"/>
          <c:showSerName val="0"/>
          <c:showPercent val="0"/>
          <c:showBubbleSize val="0"/>
        </c:dLbls>
        <c:gapWidth val="150"/>
        <c:overlap val="100"/>
        <c:axId val="228731136"/>
        <c:axId val="231010304"/>
      </c:barChart>
      <c:catAx>
        <c:axId val="2287311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1010304"/>
        <c:crosses val="autoZero"/>
        <c:auto val="1"/>
        <c:lblAlgn val="ctr"/>
        <c:lblOffset val="100"/>
        <c:noMultiLvlLbl val="0"/>
      </c:catAx>
      <c:valAx>
        <c:axId val="231010304"/>
        <c:scaling>
          <c:orientation val="minMax"/>
        </c:scaling>
        <c:delete val="1"/>
        <c:axPos val="b"/>
        <c:numFmt formatCode="0.00%" sourceLinked="1"/>
        <c:majorTickMark val="none"/>
        <c:minorTickMark val="none"/>
        <c:tickLblPos val="nextTo"/>
        <c:crossAx val="228731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solidFill>
        <a:schemeClr val="bg1"/>
      </a:solid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312941408449601"/>
          <c:y val="4.2759961127308101E-2"/>
          <c:w val="0.76002510280965696"/>
          <c:h val="0.91448007774538398"/>
        </c:manualLayout>
      </c:layout>
      <c:barChart>
        <c:barDir val="bar"/>
        <c:grouping val="clustered"/>
        <c:varyColors val="0"/>
        <c:ser>
          <c:idx val="0"/>
          <c:order val="0"/>
          <c:spPr>
            <a:solidFill>
              <a:srgbClr val="D00E2C"/>
            </a:solidFill>
            <a:ln>
              <a:noFill/>
            </a:ln>
            <a:effectLst/>
          </c:spPr>
          <c:invertIfNegative val="0"/>
          <c:dLbls>
            <c:dLbl>
              <c:idx val="0"/>
              <c:tx>
                <c:rich>
                  <a:bodyPr/>
                  <a:lstStyle/>
                  <a:p>
                    <a:fld id="{38C9FEE5-1B37-45B4-98E9-8864B253EC67}" type="CELLRANGE">
                      <a:rPr/>
                      <a:pPr/>
                      <a:t>[CELLRANGE]</a:t>
                    </a:fld>
                    <a:r>
                      <a:t>,</a:t>
                    </a:r>
                    <a:fld id="{4B154CDD-7FCD-432F-A0D0-D6E9BA64AF1C}"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1"/>
              <c:tx>
                <c:rich>
                  <a:bodyPr/>
                  <a:lstStyle/>
                  <a:p>
                    <a:fld id="{ECE01D9F-04CE-412E-8C95-1E4F4834A2FB}" type="CELLRANGE">
                      <a:rPr/>
                      <a:pPr/>
                      <a:t>[CELLRANGE]</a:t>
                    </a:fld>
                    <a:r>
                      <a:t>,</a:t>
                    </a:r>
                    <a:fld id="{7258E29F-D693-451F-BD22-B171EA5F060C}"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2"/>
              <c:tx>
                <c:rich>
                  <a:bodyPr/>
                  <a:lstStyle/>
                  <a:p>
                    <a:fld id="{B487905B-6F22-46E6-B658-CD966621C0C5}" type="CELLRANGE">
                      <a:rPr/>
                      <a:pPr/>
                      <a:t>[CELLRANGE]</a:t>
                    </a:fld>
                    <a:r>
                      <a:t>,</a:t>
                    </a:r>
                    <a:fld id="{40FA1DF8-8E68-4596-8A09-176D8F51715D}"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3"/>
              <c:tx>
                <c:rich>
                  <a:bodyPr/>
                  <a:lstStyle/>
                  <a:p>
                    <a:fld id="{72D9D6A4-185A-434C-9C8F-B54AAF36994C}" type="CELLRANGE">
                      <a:rPr/>
                      <a:pPr/>
                      <a:t>[CELLRANGE]</a:t>
                    </a:fld>
                    <a:r>
                      <a:t>,</a:t>
                    </a:r>
                    <a:fld id="{51332121-6846-419A-9995-8444C9D8AEA3}"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4"/>
              <c:tx>
                <c:rich>
                  <a:bodyPr/>
                  <a:lstStyle/>
                  <a:p>
                    <a:fld id="{4C4FAA6F-0B93-46C1-A4BE-B621F7C16D62}" type="CELLRANGE">
                      <a:rPr/>
                      <a:pPr/>
                      <a:t>[CELLRANGE]</a:t>
                    </a:fld>
                    <a:r>
                      <a:t>,</a:t>
                    </a:r>
                    <a:fld id="{AE44F422-031F-40AD-928C-BA097E5960E3}"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5"/>
              <c:tx>
                <c:rich>
                  <a:bodyPr/>
                  <a:lstStyle/>
                  <a:p>
                    <a:fld id="{B75C1CED-7E3A-41D3-A56A-5277BD91EFB4}" type="CELLRANGE">
                      <a:rPr/>
                      <a:pPr/>
                      <a:t>[CELLRANGE]</a:t>
                    </a:fld>
                    <a:r>
                      <a:t>,</a:t>
                    </a:r>
                    <a:fld id="{B4EB1100-9BD7-42F3-8083-2F8B173B7173}"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6"/>
              <c:tx>
                <c:rich>
                  <a:bodyPr/>
                  <a:lstStyle/>
                  <a:p>
                    <a:fld id="{8F01F274-4C4D-4516-AEEB-D1F0D4ADB82F}" type="CELLRANGE">
                      <a:rPr/>
                      <a:pPr/>
                      <a:t>[CELLRANGE]</a:t>
                    </a:fld>
                    <a:r>
                      <a:t>,</a:t>
                    </a:r>
                    <a:fld id="{03C3A8B0-6AA1-4662-B456-AF77DF7060E6}"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7"/>
              <c:tx>
                <c:rich>
                  <a:bodyPr/>
                  <a:lstStyle/>
                  <a:p>
                    <a:fld id="{AE67B426-4DC1-4882-AB72-0D2B6B8A61D8}" type="CELLRANGE">
                      <a:rPr/>
                      <a:pPr/>
                      <a:t>[CELLRANGE]</a:t>
                    </a:fld>
                    <a:r>
                      <a:t>,</a:t>
                    </a:r>
                    <a:fld id="{2CBB6E03-A183-4296-B882-D28F08517D9B}"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8"/>
              <c:tx>
                <c:rich>
                  <a:bodyPr/>
                  <a:lstStyle/>
                  <a:p>
                    <a:fld id="{EB036968-51DA-41EC-A479-825C217031F5}" type="CELLRANGE">
                      <a:rPr/>
                      <a:pPr/>
                      <a:t>[CELLRANGE]</a:t>
                    </a:fld>
                    <a:r>
                      <a:t>,</a:t>
                    </a:r>
                    <a:fld id="{64584480-81F4-473A-8BD2-42ECC8CBC9BC}"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prstDash val="solid"/>
                      <a:round/>
                    </a:ln>
                    <a:effectLst/>
                  </c:spPr>
                </c15:leaderLines>
              </c:ext>
            </c:extLst>
          </c:dLbls>
          <c:cat>
            <c:strRef>
              <c:f>就业形式!$AA$6:$AA$14</c:f>
              <c:strCache>
                <c:ptCount val="9"/>
                <c:pt idx="0">
                  <c:v>部队</c:v>
                </c:pt>
                <c:pt idx="1">
                  <c:v>自主创业</c:v>
                </c:pt>
                <c:pt idx="2">
                  <c:v>基层项目</c:v>
                </c:pt>
                <c:pt idx="3">
                  <c:v>公务员</c:v>
                </c:pt>
                <c:pt idx="4">
                  <c:v>出国</c:v>
                </c:pt>
                <c:pt idx="5">
                  <c:v>未就业</c:v>
                </c:pt>
                <c:pt idx="6">
                  <c:v>升学</c:v>
                </c:pt>
                <c:pt idx="7">
                  <c:v>灵活就业</c:v>
                </c:pt>
                <c:pt idx="8">
                  <c:v>高质量签约</c:v>
                </c:pt>
              </c:strCache>
            </c:strRef>
          </c:cat>
          <c:val>
            <c:numRef>
              <c:f>就业形式!$AC$6:$AC$14</c:f>
              <c:numCache>
                <c:formatCode>0.00%</c:formatCode>
                <c:ptCount val="9"/>
                <c:pt idx="0">
                  <c:v>5.8433969614335901E-4</c:v>
                </c:pt>
                <c:pt idx="1">
                  <c:v>4.67471756914686E-3</c:v>
                </c:pt>
                <c:pt idx="2">
                  <c:v>5.0642773665757696E-3</c:v>
                </c:pt>
                <c:pt idx="3">
                  <c:v>9.5442150370081795E-3</c:v>
                </c:pt>
                <c:pt idx="4">
                  <c:v>0.12504869497467899</c:v>
                </c:pt>
                <c:pt idx="5">
                  <c:v>0.166147253603428</c:v>
                </c:pt>
                <c:pt idx="6">
                  <c:v>0.17452278924815001</c:v>
                </c:pt>
                <c:pt idx="7">
                  <c:v>0.19127386053759299</c:v>
                </c:pt>
                <c:pt idx="8">
                  <c:v>0.32313985196727701</c:v>
                </c:pt>
              </c:numCache>
            </c:numRef>
          </c:val>
          <c:extLst>
            <c:ext xmlns:c15="http://schemas.microsoft.com/office/drawing/2012/chart" uri="{02D57815-91ED-43cb-92C2-25804820EDAC}">
              <c15:datalabelsRange>
                <c15:f>就业形式!$AB$6:$AB$14</c15:f>
                <c15:dlblRangeCache>
                  <c:ptCount val="9"/>
                  <c:pt idx="0">
                    <c:v>3</c:v>
                  </c:pt>
                  <c:pt idx="1">
                    <c:v>24</c:v>
                  </c:pt>
                  <c:pt idx="2">
                    <c:v>26</c:v>
                  </c:pt>
                  <c:pt idx="3">
                    <c:v>49</c:v>
                  </c:pt>
                  <c:pt idx="4">
                    <c:v>642</c:v>
                  </c:pt>
                  <c:pt idx="5">
                    <c:v>853</c:v>
                  </c:pt>
                  <c:pt idx="6">
                    <c:v>896</c:v>
                  </c:pt>
                  <c:pt idx="7">
                    <c:v>982</c:v>
                  </c:pt>
                  <c:pt idx="8">
                    <c:v>1659</c:v>
                  </c:pt>
                </c15:dlblRangeCache>
              </c15:datalabelsRange>
            </c:ext>
            <c:ext xmlns:c16="http://schemas.microsoft.com/office/drawing/2014/chart" uri="{C3380CC4-5D6E-409C-BE32-E72D297353CC}">
              <c16:uniqueId val="{00000000-FF06-7A47-8277-67A6F21027B5}"/>
            </c:ext>
          </c:extLst>
        </c:ser>
        <c:dLbls>
          <c:showLegendKey val="0"/>
          <c:showVal val="1"/>
          <c:showCatName val="0"/>
          <c:showSerName val="0"/>
          <c:showPercent val="0"/>
          <c:showBubbleSize val="0"/>
        </c:dLbls>
        <c:gapWidth val="50"/>
        <c:axId val="231054720"/>
        <c:axId val="237388928"/>
      </c:barChart>
      <c:catAx>
        <c:axId val="2310547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7388928"/>
        <c:crosses val="autoZero"/>
        <c:auto val="1"/>
        <c:lblAlgn val="ctr"/>
        <c:lblOffset val="100"/>
        <c:noMultiLvlLbl val="0"/>
      </c:catAx>
      <c:valAx>
        <c:axId val="237388928"/>
        <c:scaling>
          <c:orientation val="minMax"/>
        </c:scaling>
        <c:delete val="1"/>
        <c:axPos val="b"/>
        <c:numFmt formatCode="0.00%" sourceLinked="1"/>
        <c:majorTickMark val="none"/>
        <c:minorTickMark val="none"/>
        <c:tickLblPos val="nextTo"/>
        <c:crossAx val="23105472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C00000"/>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行业分布!$L$2:$L$5</c:f>
              <c:strCache>
                <c:ptCount val="4"/>
                <c:pt idx="0">
                  <c:v>货币金融服务</c:v>
                </c:pt>
                <c:pt idx="1">
                  <c:v>资本市场服务</c:v>
                </c:pt>
                <c:pt idx="2">
                  <c:v>保险业</c:v>
                </c:pt>
                <c:pt idx="3">
                  <c:v>其他金融业</c:v>
                </c:pt>
              </c:strCache>
            </c:strRef>
          </c:cat>
          <c:val>
            <c:numRef>
              <c:f>行业分布!$N$2:$N$5</c:f>
              <c:numCache>
                <c:formatCode>0.00%</c:formatCode>
                <c:ptCount val="4"/>
                <c:pt idx="0">
                  <c:v>0.82170542635659005</c:v>
                </c:pt>
                <c:pt idx="1">
                  <c:v>9.1472868217054304E-2</c:v>
                </c:pt>
                <c:pt idx="2">
                  <c:v>8.5271317829457405E-2</c:v>
                </c:pt>
                <c:pt idx="3">
                  <c:v>1.55038759689922E-3</c:v>
                </c:pt>
              </c:numCache>
            </c:numRef>
          </c:val>
          <c:extLst>
            <c:ext xmlns:c16="http://schemas.microsoft.com/office/drawing/2014/chart" uri="{C3380CC4-5D6E-409C-BE32-E72D297353CC}">
              <c16:uniqueId val="{00000000-6D69-BC43-B2FE-BE7A4FC66BD6}"/>
            </c:ext>
          </c:extLst>
        </c:ser>
        <c:dLbls>
          <c:showLegendKey val="0"/>
          <c:showVal val="1"/>
          <c:showCatName val="0"/>
          <c:showSerName val="0"/>
          <c:showPercent val="0"/>
          <c:showBubbleSize val="0"/>
        </c:dLbls>
        <c:gapWidth val="219"/>
        <c:overlap val="-27"/>
        <c:axId val="237400448"/>
        <c:axId val="237401984"/>
      </c:barChart>
      <c:catAx>
        <c:axId val="23740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7401984"/>
        <c:crosses val="autoZero"/>
        <c:auto val="1"/>
        <c:lblAlgn val="ctr"/>
        <c:lblOffset val="100"/>
        <c:noMultiLvlLbl val="0"/>
      </c:catAx>
      <c:valAx>
        <c:axId val="237401984"/>
        <c:scaling>
          <c:orientation val="minMax"/>
        </c:scaling>
        <c:delete val="1"/>
        <c:axPos val="l"/>
        <c:numFmt formatCode="0.00%" sourceLinked="1"/>
        <c:majorTickMark val="none"/>
        <c:minorTickMark val="none"/>
        <c:tickLblPos val="nextTo"/>
        <c:crossAx val="23740044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8561366320902599"/>
          <c:y val="3.0747728860936401E-2"/>
          <c:w val="0.468131945221271"/>
          <c:h val="0.93850454227812696"/>
        </c:manualLayout>
      </c:layout>
      <c:barChart>
        <c:barDir val="bar"/>
        <c:grouping val="clustered"/>
        <c:varyColors val="0"/>
        <c:ser>
          <c:idx val="0"/>
          <c:order val="0"/>
          <c:spPr>
            <a:solidFill>
              <a:srgbClr val="D00E2C">
                <a:alpha val="8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行业分布!$P$2:$P$13</c:f>
              <c:strCache>
                <c:ptCount val="12"/>
                <c:pt idx="0">
                  <c:v>专用设备制造业</c:v>
                </c:pt>
                <c:pt idx="1">
                  <c:v>化学纤维制造业</c:v>
                </c:pt>
                <c:pt idx="2">
                  <c:v>化学原料和化学制品制造业</c:v>
                </c:pt>
                <c:pt idx="3">
                  <c:v>铁路、船舶、航空航天和其他运输设备制造业</c:v>
                </c:pt>
                <c:pt idx="4">
                  <c:v>医药制造业</c:v>
                </c:pt>
                <c:pt idx="5">
                  <c:v>纺织服装、服饰业</c:v>
                </c:pt>
                <c:pt idx="6">
                  <c:v>汽车制造业</c:v>
                </c:pt>
                <c:pt idx="7">
                  <c:v>黑色金属冶炼和压延加工业</c:v>
                </c:pt>
                <c:pt idx="8">
                  <c:v>食品制造业</c:v>
                </c:pt>
                <c:pt idx="9">
                  <c:v>电气机械和器材制造业</c:v>
                </c:pt>
                <c:pt idx="10">
                  <c:v>计算机、通信和其他电子设备制造业</c:v>
                </c:pt>
                <c:pt idx="11">
                  <c:v>其他制造业</c:v>
                </c:pt>
              </c:strCache>
            </c:strRef>
          </c:cat>
          <c:val>
            <c:numRef>
              <c:f>行业分布!$Q$2:$Q$13</c:f>
              <c:numCache>
                <c:formatCode>0.00%</c:formatCode>
                <c:ptCount val="12"/>
                <c:pt idx="0">
                  <c:v>8.31024930747923E-3</c:v>
                </c:pt>
                <c:pt idx="1">
                  <c:v>1.1080332409972299E-2</c:v>
                </c:pt>
                <c:pt idx="2">
                  <c:v>1.6620498614958401E-2</c:v>
                </c:pt>
                <c:pt idx="3">
                  <c:v>1.9390581717451501E-2</c:v>
                </c:pt>
                <c:pt idx="4">
                  <c:v>3.6011080332410003E-2</c:v>
                </c:pt>
                <c:pt idx="5">
                  <c:v>3.6011080332410003E-2</c:v>
                </c:pt>
                <c:pt idx="6">
                  <c:v>4.4321329639889197E-2</c:v>
                </c:pt>
                <c:pt idx="7">
                  <c:v>6.3711911357340806E-2</c:v>
                </c:pt>
                <c:pt idx="8">
                  <c:v>0.10803324099723</c:v>
                </c:pt>
                <c:pt idx="9">
                  <c:v>0.11911357340720199</c:v>
                </c:pt>
                <c:pt idx="10">
                  <c:v>0.20498614958448799</c:v>
                </c:pt>
                <c:pt idx="11">
                  <c:v>0.33240997229917002</c:v>
                </c:pt>
              </c:numCache>
            </c:numRef>
          </c:val>
          <c:extLst>
            <c:ext xmlns:c16="http://schemas.microsoft.com/office/drawing/2014/chart" uri="{C3380CC4-5D6E-409C-BE32-E72D297353CC}">
              <c16:uniqueId val="{00000000-5859-A54D-81E1-4D5F7F8F929E}"/>
            </c:ext>
          </c:extLst>
        </c:ser>
        <c:dLbls>
          <c:showLegendKey val="0"/>
          <c:showVal val="1"/>
          <c:showCatName val="0"/>
          <c:showSerName val="0"/>
          <c:showPercent val="0"/>
          <c:showBubbleSize val="0"/>
        </c:dLbls>
        <c:gapWidth val="150"/>
        <c:axId val="237417600"/>
        <c:axId val="237419136"/>
      </c:barChart>
      <c:catAx>
        <c:axId val="2374176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7419136"/>
        <c:crosses val="autoZero"/>
        <c:auto val="1"/>
        <c:lblAlgn val="ctr"/>
        <c:lblOffset val="100"/>
        <c:noMultiLvlLbl val="0"/>
      </c:catAx>
      <c:valAx>
        <c:axId val="237419136"/>
        <c:scaling>
          <c:orientation val="minMax"/>
        </c:scaling>
        <c:delete val="1"/>
        <c:axPos val="b"/>
        <c:numFmt formatCode="0.00%" sourceLinked="1"/>
        <c:majorTickMark val="none"/>
        <c:minorTickMark val="none"/>
        <c:tickLblPos val="nextTo"/>
        <c:crossAx val="23741760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6527096998538"/>
          <c:y val="3.0747728860936401E-2"/>
          <c:w val="0.70721846702011604"/>
          <c:h val="0.93850454227812696"/>
        </c:manualLayout>
      </c:layout>
      <c:barChart>
        <c:barDir val="bar"/>
        <c:grouping val="clustered"/>
        <c:varyColors val="0"/>
        <c:ser>
          <c:idx val="0"/>
          <c:order val="0"/>
          <c:spPr>
            <a:solidFill>
              <a:srgbClr val="D00E2C">
                <a:alpha val="80000"/>
              </a:srgbClr>
            </a:solidFill>
            <a:ln>
              <a:noFill/>
            </a:ln>
            <a:effectLst/>
          </c:spPr>
          <c:invertIfNegative val="0"/>
          <c:dLbls>
            <c:dLbl>
              <c:idx val="0"/>
              <c:tx>
                <c:rich>
                  <a:bodyPr/>
                  <a:lstStyle/>
                  <a:p>
                    <a:fld id="{C6EE5ACA-4BFC-4A80-8D95-E69615A966E2}" type="CELLRANGE">
                      <a:rPr/>
                      <a:pPr/>
                      <a:t>[CELLRANGE]</a:t>
                    </a:fld>
                    <a:r>
                      <a:t>,</a:t>
                    </a:r>
                    <a:fld id="{49CFC83D-B1ED-4FF4-A518-48065448AB97}"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1"/>
              <c:tx>
                <c:rich>
                  <a:bodyPr/>
                  <a:lstStyle/>
                  <a:p>
                    <a:fld id="{3EB72EED-02A6-43A5-9A02-FED7222A1DDC}" type="CELLRANGE">
                      <a:rPr/>
                      <a:pPr/>
                      <a:t>[CELLRANGE]</a:t>
                    </a:fld>
                    <a:r>
                      <a:t>,</a:t>
                    </a:r>
                    <a:fld id="{1118D87C-285D-42C7-95E8-BBCF9EF53C28}"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2"/>
              <c:tx>
                <c:rich>
                  <a:bodyPr/>
                  <a:lstStyle/>
                  <a:p>
                    <a:fld id="{B121A104-AA77-4CA7-89D9-8A8F9E66BD49}" type="CELLRANGE">
                      <a:rPr/>
                      <a:pPr/>
                      <a:t>[CELLRANGE]</a:t>
                    </a:fld>
                    <a:r>
                      <a:t>,</a:t>
                    </a:r>
                    <a:fld id="{D34302E3-56C7-4BB6-A9C2-F4248E511ED2}"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3"/>
              <c:tx>
                <c:rich>
                  <a:bodyPr/>
                  <a:lstStyle/>
                  <a:p>
                    <a:fld id="{4843E4FE-0A1E-4921-A97F-0F7AC2D21219}" type="CELLRANGE">
                      <a:rPr/>
                      <a:pPr/>
                      <a:t>[CELLRANGE]</a:t>
                    </a:fld>
                    <a:r>
                      <a:t>,</a:t>
                    </a:r>
                    <a:fld id="{EE5EAFD1-3AA1-4282-88F2-22A729E90FC4}"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4"/>
              <c:tx>
                <c:rich>
                  <a:bodyPr/>
                  <a:lstStyle/>
                  <a:p>
                    <a:fld id="{EBBF7F59-C559-46BF-BC4D-CE4735F52B9B}" type="CELLRANGE">
                      <a:rPr/>
                      <a:pPr/>
                      <a:t>[CELLRANGE]</a:t>
                    </a:fld>
                    <a:r>
                      <a:t>,</a:t>
                    </a:r>
                    <a:fld id="{7292B528-7704-4328-8335-31860181255D}"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5"/>
              <c:tx>
                <c:rich>
                  <a:bodyPr/>
                  <a:lstStyle/>
                  <a:p>
                    <a:fld id="{5452511A-BADD-4EB9-9FB9-24EE81E46281}" type="CELLRANGE">
                      <a:rPr/>
                      <a:pPr/>
                      <a:t>[CELLRANGE]</a:t>
                    </a:fld>
                    <a:r>
                      <a:t>,</a:t>
                    </a:r>
                    <a:fld id="{D36D8D20-E248-44D4-993E-B8C533A37E72}"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6"/>
              <c:tx>
                <c:rich>
                  <a:bodyPr/>
                  <a:lstStyle/>
                  <a:p>
                    <a:fld id="{FEBB6492-5A01-4B09-A270-027E2EDDE521}" type="CELLRANGE">
                      <a:rPr/>
                      <a:pPr/>
                      <a:t>[CELLRANGE]</a:t>
                    </a:fld>
                    <a:r>
                      <a:t>,</a:t>
                    </a:r>
                    <a:fld id="{921481DC-6E7B-4C9E-9661-864DA2E28F1A}"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7"/>
              <c:tx>
                <c:rich>
                  <a:bodyPr/>
                  <a:lstStyle/>
                  <a:p>
                    <a:fld id="{B10EAEAE-BAFC-4A78-A6F7-B0F954FE336C}" type="CELLRANGE">
                      <a:rPr/>
                      <a:pPr/>
                      <a:t>[CELLRANGE]</a:t>
                    </a:fld>
                    <a:r>
                      <a:t>,</a:t>
                    </a:r>
                    <a:fld id="{64554989-CCD0-4C0E-88C9-EED8B81AEE4D}"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8"/>
              <c:tx>
                <c:rich>
                  <a:bodyPr/>
                  <a:lstStyle/>
                  <a:p>
                    <a:fld id="{528929E2-5C1C-4A03-9D46-77EE879B2781}" type="CELLRANGE">
                      <a:rPr/>
                      <a:pPr/>
                      <a:t>[CELLRANGE]</a:t>
                    </a:fld>
                    <a:r>
                      <a:t>,</a:t>
                    </a:r>
                    <a:fld id="{38563634-5F26-42B0-B5E9-A2B700CE68B2}"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dLbl>
              <c:idx val="9"/>
              <c:tx>
                <c:rich>
                  <a:bodyPr/>
                  <a:lstStyle/>
                  <a:p>
                    <a:fld id="{13A014D9-7349-4BCC-9E26-8D27ECD356BE}" type="CELLRANGE">
                      <a:rPr/>
                      <a:pPr/>
                      <a:t>[CELLRANGE]</a:t>
                    </a:fld>
                    <a:r>
                      <a:t>,</a:t>
                    </a:r>
                    <a:fld id="{ACC7B906-0405-443F-B0F5-B892B70D84DD}" type="VALUE">
                      <a:rPr lang="zh-CN" altLang="en-US"/>
                      <a:pPr/>
                      <a:t>[值]</a:t>
                    </a:fld>
                    <a:endParaRPr/>
                  </a:p>
                </c:rich>
              </c:tx>
              <c:dLblPos val="outEnd"/>
              <c:showLegendKey val="0"/>
              <c:showVal val="1"/>
              <c:showCatName val="0"/>
              <c:showSerName val="0"/>
              <c:showPercent val="0"/>
              <c:showBubbleSize val="0"/>
              <c:extLs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prstDash val="solid"/>
                      <a:round/>
                    </a:ln>
                    <a:effectLst/>
                  </c:spPr>
                </c15:leaderLines>
              </c:ext>
            </c:extLst>
          </c:dLbls>
          <c:cat>
            <c:strRef>
              <c:f>职位类型!$E$32:$E$41</c:f>
              <c:strCache>
                <c:ptCount val="10"/>
                <c:pt idx="0">
                  <c:v>其他</c:v>
                </c:pt>
                <c:pt idx="1">
                  <c:v>公务员</c:v>
                </c:pt>
                <c:pt idx="2">
                  <c:v>教学人员</c:v>
                </c:pt>
                <c:pt idx="3">
                  <c:v>其他专业技术人员</c:v>
                </c:pt>
                <c:pt idx="4">
                  <c:v>商业和服务业人员</c:v>
                </c:pt>
                <c:pt idx="5">
                  <c:v>工程技术人员</c:v>
                </c:pt>
                <c:pt idx="6">
                  <c:v>其他人员</c:v>
                </c:pt>
                <c:pt idx="7">
                  <c:v>金融业务人员</c:v>
                </c:pt>
                <c:pt idx="8">
                  <c:v>办事人员和有关人员</c:v>
                </c:pt>
                <c:pt idx="9">
                  <c:v>经济业务人员</c:v>
                </c:pt>
              </c:strCache>
            </c:strRef>
          </c:cat>
          <c:val>
            <c:numRef>
              <c:f>职位类型!$G$32:$G$41</c:f>
              <c:numCache>
                <c:formatCode>0.00%</c:formatCode>
                <c:ptCount val="10"/>
                <c:pt idx="0">
                  <c:v>9.9000000000000095E-3</c:v>
                </c:pt>
                <c:pt idx="1">
                  <c:v>1.0250569476082E-2</c:v>
                </c:pt>
                <c:pt idx="2">
                  <c:v>1.6324981017463901E-2</c:v>
                </c:pt>
                <c:pt idx="3">
                  <c:v>4.2520880789673497E-2</c:v>
                </c:pt>
                <c:pt idx="4">
                  <c:v>7.5550493545937694E-2</c:v>
                </c:pt>
                <c:pt idx="5">
                  <c:v>9.1875474563401699E-2</c:v>
                </c:pt>
                <c:pt idx="6">
                  <c:v>9.4912680334092697E-2</c:v>
                </c:pt>
                <c:pt idx="7">
                  <c:v>0.11541381928625701</c:v>
                </c:pt>
                <c:pt idx="8">
                  <c:v>0.145785876993166</c:v>
                </c:pt>
                <c:pt idx="9">
                  <c:v>0.39749430523918</c:v>
                </c:pt>
              </c:numCache>
            </c:numRef>
          </c:val>
          <c:extLst>
            <c:ext xmlns:c15="http://schemas.microsoft.com/office/drawing/2012/chart" uri="{02D57815-91ED-43cb-92C2-25804820EDAC}">
              <c15:datalabelsRange>
                <c15:f>职位类型!$F$32:$F$41</c15:f>
                <c15:dlblRangeCache>
                  <c:ptCount val="10"/>
                  <c:pt idx="0">
                    <c:v>26</c:v>
                  </c:pt>
                  <c:pt idx="1">
                    <c:v>27</c:v>
                  </c:pt>
                  <c:pt idx="2">
                    <c:v>43</c:v>
                  </c:pt>
                  <c:pt idx="3">
                    <c:v>112</c:v>
                  </c:pt>
                  <c:pt idx="4">
                    <c:v>199</c:v>
                  </c:pt>
                  <c:pt idx="5">
                    <c:v>242</c:v>
                  </c:pt>
                  <c:pt idx="6">
                    <c:v>250</c:v>
                  </c:pt>
                  <c:pt idx="7">
                    <c:v>304</c:v>
                  </c:pt>
                  <c:pt idx="8">
                    <c:v>384</c:v>
                  </c:pt>
                  <c:pt idx="9">
                    <c:v>1047</c:v>
                  </c:pt>
                </c15:dlblRangeCache>
              </c15:datalabelsRange>
            </c:ext>
            <c:ext xmlns:c16="http://schemas.microsoft.com/office/drawing/2014/chart" uri="{C3380CC4-5D6E-409C-BE32-E72D297353CC}">
              <c16:uniqueId val="{00000000-58E0-3447-BE8B-D675621E336A}"/>
            </c:ext>
          </c:extLst>
        </c:ser>
        <c:dLbls>
          <c:showLegendKey val="0"/>
          <c:showVal val="1"/>
          <c:showCatName val="0"/>
          <c:showSerName val="0"/>
          <c:showPercent val="0"/>
          <c:showBubbleSize val="0"/>
        </c:dLbls>
        <c:gapWidth val="150"/>
        <c:axId val="239945600"/>
        <c:axId val="239947136"/>
      </c:barChart>
      <c:catAx>
        <c:axId val="2399456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9947136"/>
        <c:crosses val="autoZero"/>
        <c:auto val="1"/>
        <c:lblAlgn val="ctr"/>
        <c:lblOffset val="100"/>
        <c:noMultiLvlLbl val="0"/>
      </c:catAx>
      <c:valAx>
        <c:axId val="239947136"/>
        <c:scaling>
          <c:orientation val="minMax"/>
        </c:scaling>
        <c:delete val="1"/>
        <c:axPos val="b"/>
        <c:numFmt formatCode="0.00%" sourceLinked="1"/>
        <c:majorTickMark val="none"/>
        <c:minorTickMark val="none"/>
        <c:tickLblPos val="nextTo"/>
        <c:crossAx val="23994560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Sheet2!$G$34:$G$44</c:f>
              <c:strCache>
                <c:ptCount val="11"/>
                <c:pt idx="0">
                  <c:v>广东</c:v>
                </c:pt>
                <c:pt idx="1">
                  <c:v>江西</c:v>
                </c:pt>
                <c:pt idx="2">
                  <c:v>上海</c:v>
                </c:pt>
                <c:pt idx="3">
                  <c:v>浙江</c:v>
                </c:pt>
                <c:pt idx="4">
                  <c:v>北京</c:v>
                </c:pt>
                <c:pt idx="5">
                  <c:v>福建</c:v>
                </c:pt>
                <c:pt idx="6">
                  <c:v>湖南</c:v>
                </c:pt>
                <c:pt idx="7">
                  <c:v>湖北</c:v>
                </c:pt>
                <c:pt idx="8">
                  <c:v>江苏</c:v>
                </c:pt>
                <c:pt idx="9">
                  <c:v>四川</c:v>
                </c:pt>
                <c:pt idx="10">
                  <c:v>其他省份</c:v>
                </c:pt>
              </c:strCache>
            </c:strRef>
          </c:cat>
          <c:val>
            <c:numRef>
              <c:f>Sheet2!$H$34:$H$44</c:f>
              <c:numCache>
                <c:formatCode>General</c:formatCode>
                <c:ptCount val="11"/>
                <c:pt idx="0">
                  <c:v>277</c:v>
                </c:pt>
                <c:pt idx="1">
                  <c:v>211</c:v>
                </c:pt>
                <c:pt idx="2">
                  <c:v>114</c:v>
                </c:pt>
                <c:pt idx="3">
                  <c:v>108</c:v>
                </c:pt>
                <c:pt idx="4">
                  <c:v>41</c:v>
                </c:pt>
                <c:pt idx="5">
                  <c:v>34</c:v>
                </c:pt>
                <c:pt idx="6">
                  <c:v>23</c:v>
                </c:pt>
                <c:pt idx="7">
                  <c:v>20</c:v>
                </c:pt>
                <c:pt idx="8">
                  <c:v>20</c:v>
                </c:pt>
                <c:pt idx="9">
                  <c:v>11</c:v>
                </c:pt>
                <c:pt idx="10">
                  <c:v>53</c:v>
                </c:pt>
              </c:numCache>
            </c:numRef>
          </c:val>
          <c:extLst>
            <c:ext xmlns:c16="http://schemas.microsoft.com/office/drawing/2014/chart" uri="{C3380CC4-5D6E-409C-BE32-E72D297353CC}">
              <c16:uniqueId val="{00000000-4B82-2F4B-AF79-19BF1991B67E}"/>
            </c:ext>
          </c:extLst>
        </c:ser>
        <c:dLbls>
          <c:showLegendKey val="0"/>
          <c:showVal val="1"/>
          <c:showCatName val="0"/>
          <c:showSerName val="0"/>
          <c:showPercent val="0"/>
          <c:showBubbleSize val="0"/>
        </c:dLbls>
        <c:gapWidth val="150"/>
        <c:overlap val="-27"/>
        <c:axId val="239966848"/>
        <c:axId val="239976832"/>
      </c:barChart>
      <c:catAx>
        <c:axId val="239966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39976832"/>
        <c:crosses val="autoZero"/>
        <c:auto val="1"/>
        <c:lblAlgn val="ctr"/>
        <c:lblOffset val="100"/>
        <c:noMultiLvlLbl val="0"/>
      </c:catAx>
      <c:valAx>
        <c:axId val="239976832"/>
        <c:scaling>
          <c:orientation val="minMax"/>
        </c:scaling>
        <c:delete val="1"/>
        <c:axPos val="l"/>
        <c:numFmt formatCode="General" sourceLinked="1"/>
        <c:majorTickMark val="none"/>
        <c:minorTickMark val="none"/>
        <c:tickLblPos val="nextTo"/>
        <c:crossAx val="23996684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Sheet2!$G$60:$G$69</c:f>
              <c:strCache>
                <c:ptCount val="10"/>
                <c:pt idx="0">
                  <c:v>中初教育单位</c:v>
                </c:pt>
                <c:pt idx="1">
                  <c:v>科研设计单位</c:v>
                </c:pt>
                <c:pt idx="2">
                  <c:v>其他事业单位</c:v>
                </c:pt>
                <c:pt idx="3">
                  <c:v>高等教育单位</c:v>
                </c:pt>
                <c:pt idx="4">
                  <c:v>机关</c:v>
                </c:pt>
                <c:pt idx="5">
                  <c:v>其他</c:v>
                </c:pt>
                <c:pt idx="6">
                  <c:v>三资企业</c:v>
                </c:pt>
                <c:pt idx="7">
                  <c:v>其他企业</c:v>
                </c:pt>
                <c:pt idx="8">
                  <c:v>国有企业</c:v>
                </c:pt>
                <c:pt idx="9">
                  <c:v>民营企业</c:v>
                </c:pt>
              </c:strCache>
            </c:strRef>
          </c:cat>
          <c:val>
            <c:numRef>
              <c:f>Sheet2!$H$60:$H$69</c:f>
              <c:numCache>
                <c:formatCode>General</c:formatCode>
                <c:ptCount val="10"/>
                <c:pt idx="0">
                  <c:v>1</c:v>
                </c:pt>
                <c:pt idx="1">
                  <c:v>3</c:v>
                </c:pt>
                <c:pt idx="2">
                  <c:v>3</c:v>
                </c:pt>
                <c:pt idx="3">
                  <c:v>4</c:v>
                </c:pt>
                <c:pt idx="4">
                  <c:v>5</c:v>
                </c:pt>
                <c:pt idx="5">
                  <c:v>58</c:v>
                </c:pt>
                <c:pt idx="6">
                  <c:v>70</c:v>
                </c:pt>
                <c:pt idx="7">
                  <c:v>118</c:v>
                </c:pt>
                <c:pt idx="8">
                  <c:v>266</c:v>
                </c:pt>
                <c:pt idx="9">
                  <c:v>384</c:v>
                </c:pt>
              </c:numCache>
            </c:numRef>
          </c:val>
          <c:extLst>
            <c:ext xmlns:c16="http://schemas.microsoft.com/office/drawing/2014/chart" uri="{C3380CC4-5D6E-409C-BE32-E72D297353CC}">
              <c16:uniqueId val="{00000000-1DAE-3446-BE98-364F4B9366F8}"/>
            </c:ext>
          </c:extLst>
        </c:ser>
        <c:dLbls>
          <c:showLegendKey val="0"/>
          <c:showVal val="1"/>
          <c:showCatName val="0"/>
          <c:showSerName val="0"/>
          <c:showPercent val="0"/>
          <c:showBubbleSize val="0"/>
        </c:dLbls>
        <c:gapWidth val="100"/>
        <c:axId val="239984000"/>
        <c:axId val="240075904"/>
      </c:barChart>
      <c:catAx>
        <c:axId val="2399840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0075904"/>
        <c:crosses val="autoZero"/>
        <c:auto val="1"/>
        <c:lblAlgn val="ctr"/>
        <c:lblOffset val="100"/>
        <c:noMultiLvlLbl val="0"/>
      </c:catAx>
      <c:valAx>
        <c:axId val="240075904"/>
        <c:scaling>
          <c:orientation val="minMax"/>
        </c:scaling>
        <c:delete val="1"/>
        <c:axPos val="b"/>
        <c:numFmt formatCode="General" sourceLinked="1"/>
        <c:majorTickMark val="none"/>
        <c:minorTickMark val="none"/>
        <c:tickLblPos val="nextTo"/>
        <c:crossAx val="23998400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Sheet2!$G$76:$G$82</c:f>
              <c:strCache>
                <c:ptCount val="7"/>
                <c:pt idx="0">
                  <c:v>央属事业单位</c:v>
                </c:pt>
                <c:pt idx="1">
                  <c:v>世界500强</c:v>
                </c:pt>
                <c:pt idx="2">
                  <c:v>中国100强</c:v>
                </c:pt>
                <c:pt idx="3">
                  <c:v>中国500强</c:v>
                </c:pt>
                <c:pt idx="4">
                  <c:v>上市公司</c:v>
                </c:pt>
                <c:pt idx="5">
                  <c:v>行业500强</c:v>
                </c:pt>
                <c:pt idx="6">
                  <c:v>民企500强</c:v>
                </c:pt>
              </c:strCache>
            </c:strRef>
          </c:cat>
          <c:val>
            <c:numRef>
              <c:f>Sheet2!$H$76:$H$82</c:f>
              <c:numCache>
                <c:formatCode>General</c:formatCode>
                <c:ptCount val="7"/>
                <c:pt idx="0">
                  <c:v>24</c:v>
                </c:pt>
                <c:pt idx="1">
                  <c:v>173</c:v>
                </c:pt>
                <c:pt idx="2">
                  <c:v>21</c:v>
                </c:pt>
                <c:pt idx="3">
                  <c:v>102</c:v>
                </c:pt>
                <c:pt idx="4">
                  <c:v>111</c:v>
                </c:pt>
                <c:pt idx="5">
                  <c:v>56</c:v>
                </c:pt>
                <c:pt idx="6">
                  <c:v>35</c:v>
                </c:pt>
              </c:numCache>
            </c:numRef>
          </c:val>
          <c:extLst>
            <c:ext xmlns:c16="http://schemas.microsoft.com/office/drawing/2014/chart" uri="{C3380CC4-5D6E-409C-BE32-E72D297353CC}">
              <c16:uniqueId val="{00000000-209C-4747-917F-C8D39C86DF34}"/>
            </c:ext>
          </c:extLst>
        </c:ser>
        <c:dLbls>
          <c:showLegendKey val="0"/>
          <c:showVal val="1"/>
          <c:showCatName val="0"/>
          <c:showSerName val="0"/>
          <c:showPercent val="0"/>
          <c:showBubbleSize val="0"/>
        </c:dLbls>
        <c:gapWidth val="150"/>
        <c:overlap val="-27"/>
        <c:axId val="240095616"/>
        <c:axId val="240097152"/>
      </c:barChart>
      <c:catAx>
        <c:axId val="240095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0097152"/>
        <c:crosses val="autoZero"/>
        <c:auto val="1"/>
        <c:lblAlgn val="ctr"/>
        <c:lblOffset val="100"/>
        <c:noMultiLvlLbl val="0"/>
      </c:catAx>
      <c:valAx>
        <c:axId val="240097152"/>
        <c:scaling>
          <c:orientation val="minMax"/>
        </c:scaling>
        <c:delete val="1"/>
        <c:axPos val="l"/>
        <c:numFmt formatCode="General" sourceLinked="1"/>
        <c:majorTickMark val="none"/>
        <c:minorTickMark val="none"/>
        <c:tickLblPos val="nextTo"/>
        <c:crossAx val="24009561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132507257810901"/>
          <c:y val="3.3716475095785403E-2"/>
          <c:w val="0.681523650408139"/>
          <c:h val="0.93256704980842797"/>
        </c:manualLayout>
      </c:layout>
      <c:barChart>
        <c:barDir val="bar"/>
        <c:grouping val="stack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就业满意度!$N$30:$N$45</c:f>
              <c:strCache>
                <c:ptCount val="16"/>
                <c:pt idx="0">
                  <c:v>外国语学院</c:v>
                </c:pt>
                <c:pt idx="1">
                  <c:v>统计学院</c:v>
                </c:pt>
                <c:pt idx="2">
                  <c:v>工商管理学院</c:v>
                </c:pt>
                <c:pt idx="3">
                  <c:v>体育学院</c:v>
                </c:pt>
                <c:pt idx="4">
                  <c:v>经济学院</c:v>
                </c:pt>
                <c:pt idx="5">
                  <c:v>法学院</c:v>
                </c:pt>
                <c:pt idx="6">
                  <c:v>艺术学院</c:v>
                </c:pt>
                <c:pt idx="7">
                  <c:v>财税与公共管理学院</c:v>
                </c:pt>
                <c:pt idx="8">
                  <c:v>旅游与城市管理学院</c:v>
                </c:pt>
                <c:pt idx="9">
                  <c:v>软件与物联网工程学院</c:v>
                </c:pt>
                <c:pt idx="10">
                  <c:v>国际经贸学院</c:v>
                </c:pt>
                <c:pt idx="11">
                  <c:v>人文学院</c:v>
                </c:pt>
                <c:pt idx="12">
                  <c:v>国际学院</c:v>
                </c:pt>
                <c:pt idx="13">
                  <c:v>信息管理学院</c:v>
                </c:pt>
                <c:pt idx="14">
                  <c:v>会计学院</c:v>
                </c:pt>
                <c:pt idx="15">
                  <c:v>金融学院</c:v>
                </c:pt>
              </c:strCache>
            </c:strRef>
          </c:cat>
          <c:val>
            <c:numRef>
              <c:f>就业满意度!$O$30:$O$45</c:f>
              <c:numCache>
                <c:formatCode>0.00%</c:formatCode>
                <c:ptCount val="16"/>
                <c:pt idx="0">
                  <c:v>0.57894736842105299</c:v>
                </c:pt>
                <c:pt idx="1">
                  <c:v>0.71052631578947401</c:v>
                </c:pt>
                <c:pt idx="2">
                  <c:v>0.75833333333333297</c:v>
                </c:pt>
                <c:pt idx="3">
                  <c:v>0.76190476190476197</c:v>
                </c:pt>
                <c:pt idx="4">
                  <c:v>0.77272727272727404</c:v>
                </c:pt>
                <c:pt idx="5">
                  <c:v>0.78947368421052599</c:v>
                </c:pt>
                <c:pt idx="6">
                  <c:v>0.78947368421052599</c:v>
                </c:pt>
                <c:pt idx="7">
                  <c:v>0.8</c:v>
                </c:pt>
                <c:pt idx="8">
                  <c:v>0.80769230769230804</c:v>
                </c:pt>
                <c:pt idx="9">
                  <c:v>0.81428571428571395</c:v>
                </c:pt>
                <c:pt idx="10">
                  <c:v>0.822784810126583</c:v>
                </c:pt>
                <c:pt idx="11">
                  <c:v>0.83333333333333304</c:v>
                </c:pt>
                <c:pt idx="12">
                  <c:v>0.86419753086419904</c:v>
                </c:pt>
                <c:pt idx="13">
                  <c:v>0.87037037037037002</c:v>
                </c:pt>
                <c:pt idx="14">
                  <c:v>0.90967741935484003</c:v>
                </c:pt>
                <c:pt idx="15">
                  <c:v>0.92222222222222205</c:v>
                </c:pt>
              </c:numCache>
            </c:numRef>
          </c:val>
          <c:extLst>
            <c:ext xmlns:c16="http://schemas.microsoft.com/office/drawing/2014/chart" uri="{C3380CC4-5D6E-409C-BE32-E72D297353CC}">
              <c16:uniqueId val="{00000000-8D37-1D4E-8F6F-C4716680E673}"/>
            </c:ext>
          </c:extLst>
        </c:ser>
        <c:ser>
          <c:idx val="1"/>
          <c:order val="1"/>
          <c:spPr>
            <a:solidFill>
              <a:srgbClr val="D00E2C">
                <a:alpha val="20000"/>
              </a:srgbClr>
            </a:solidFill>
            <a:ln>
              <a:noFill/>
            </a:ln>
            <a:effectLst/>
          </c:spPr>
          <c:invertIfNegative val="0"/>
          <c:cat>
            <c:strRef>
              <c:f>就业满意度!$N$30:$N$45</c:f>
              <c:strCache>
                <c:ptCount val="16"/>
                <c:pt idx="0">
                  <c:v>外国语学院</c:v>
                </c:pt>
                <c:pt idx="1">
                  <c:v>统计学院</c:v>
                </c:pt>
                <c:pt idx="2">
                  <c:v>工商管理学院</c:v>
                </c:pt>
                <c:pt idx="3">
                  <c:v>体育学院</c:v>
                </c:pt>
                <c:pt idx="4">
                  <c:v>经济学院</c:v>
                </c:pt>
                <c:pt idx="5">
                  <c:v>法学院</c:v>
                </c:pt>
                <c:pt idx="6">
                  <c:v>艺术学院</c:v>
                </c:pt>
                <c:pt idx="7">
                  <c:v>财税与公共管理学院</c:v>
                </c:pt>
                <c:pt idx="8">
                  <c:v>旅游与城市管理学院</c:v>
                </c:pt>
                <c:pt idx="9">
                  <c:v>软件与物联网工程学院</c:v>
                </c:pt>
                <c:pt idx="10">
                  <c:v>国际经贸学院</c:v>
                </c:pt>
                <c:pt idx="11">
                  <c:v>人文学院</c:v>
                </c:pt>
                <c:pt idx="12">
                  <c:v>国际学院</c:v>
                </c:pt>
                <c:pt idx="13">
                  <c:v>信息管理学院</c:v>
                </c:pt>
                <c:pt idx="14">
                  <c:v>会计学院</c:v>
                </c:pt>
                <c:pt idx="15">
                  <c:v>金融学院</c:v>
                </c:pt>
              </c:strCache>
            </c:strRef>
          </c:cat>
          <c:val>
            <c:numRef>
              <c:f>就业满意度!$P$30:$P$45</c:f>
              <c:numCache>
                <c:formatCode>0.00%</c:formatCode>
                <c:ptCount val="16"/>
                <c:pt idx="0">
                  <c:v>0.42105263157894701</c:v>
                </c:pt>
                <c:pt idx="1">
                  <c:v>0.28947368421052599</c:v>
                </c:pt>
                <c:pt idx="2">
                  <c:v>0.241666666666667</c:v>
                </c:pt>
                <c:pt idx="3">
                  <c:v>0.238095238095238</c:v>
                </c:pt>
                <c:pt idx="4">
                  <c:v>0.22727272727272699</c:v>
                </c:pt>
                <c:pt idx="5">
                  <c:v>0.21052631578947401</c:v>
                </c:pt>
                <c:pt idx="6">
                  <c:v>0.21052631578947401</c:v>
                </c:pt>
                <c:pt idx="7">
                  <c:v>0.2</c:v>
                </c:pt>
                <c:pt idx="8">
                  <c:v>0.19230769230769201</c:v>
                </c:pt>
                <c:pt idx="9">
                  <c:v>0.185714285714286</c:v>
                </c:pt>
                <c:pt idx="10">
                  <c:v>0.177215189873418</c:v>
                </c:pt>
                <c:pt idx="11">
                  <c:v>0.16666666666666699</c:v>
                </c:pt>
                <c:pt idx="12">
                  <c:v>0.13580246913580199</c:v>
                </c:pt>
                <c:pt idx="13">
                  <c:v>0.12962962962963001</c:v>
                </c:pt>
                <c:pt idx="14">
                  <c:v>9.0322580645161396E-2</c:v>
                </c:pt>
                <c:pt idx="15">
                  <c:v>7.7777777777777696E-2</c:v>
                </c:pt>
              </c:numCache>
            </c:numRef>
          </c:val>
          <c:extLst>
            <c:ext xmlns:c16="http://schemas.microsoft.com/office/drawing/2014/chart" uri="{C3380CC4-5D6E-409C-BE32-E72D297353CC}">
              <c16:uniqueId val="{00000001-8D37-1D4E-8F6F-C4716680E673}"/>
            </c:ext>
          </c:extLst>
        </c:ser>
        <c:dLbls>
          <c:showLegendKey val="0"/>
          <c:showVal val="0"/>
          <c:showCatName val="0"/>
          <c:showSerName val="0"/>
          <c:showPercent val="0"/>
          <c:showBubbleSize val="0"/>
        </c:dLbls>
        <c:gapWidth val="100"/>
        <c:overlap val="100"/>
        <c:axId val="240134016"/>
        <c:axId val="240135552"/>
      </c:barChart>
      <c:catAx>
        <c:axId val="240134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0135552"/>
        <c:crosses val="autoZero"/>
        <c:auto val="1"/>
        <c:lblAlgn val="ctr"/>
        <c:lblOffset val="100"/>
        <c:noMultiLvlLbl val="0"/>
      </c:catAx>
      <c:valAx>
        <c:axId val="240135552"/>
        <c:scaling>
          <c:orientation val="minMax"/>
        </c:scaling>
        <c:delete val="1"/>
        <c:axPos val="b"/>
        <c:numFmt formatCode="0.00%" sourceLinked="1"/>
        <c:majorTickMark val="none"/>
        <c:minorTickMark val="none"/>
        <c:tickLblPos val="nextTo"/>
        <c:crossAx val="24013401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人职适配1!$L$2:$L$17</c:f>
              <c:strCache>
                <c:ptCount val="16"/>
                <c:pt idx="0">
                  <c:v>体育学院</c:v>
                </c:pt>
                <c:pt idx="1">
                  <c:v>统计学院</c:v>
                </c:pt>
                <c:pt idx="2">
                  <c:v>外国语学院</c:v>
                </c:pt>
                <c:pt idx="3">
                  <c:v>经济学院</c:v>
                </c:pt>
                <c:pt idx="4">
                  <c:v>国际经贸学院</c:v>
                </c:pt>
                <c:pt idx="5">
                  <c:v>人文学院</c:v>
                </c:pt>
                <c:pt idx="6">
                  <c:v>旅游与城市管理学院</c:v>
                </c:pt>
                <c:pt idx="7">
                  <c:v>艺术学院</c:v>
                </c:pt>
                <c:pt idx="8">
                  <c:v>信息管理学院</c:v>
                </c:pt>
                <c:pt idx="9">
                  <c:v>工商管理学院</c:v>
                </c:pt>
                <c:pt idx="10">
                  <c:v>财税与公共管理学院</c:v>
                </c:pt>
                <c:pt idx="11">
                  <c:v>金融学院</c:v>
                </c:pt>
                <c:pt idx="12">
                  <c:v>法学院</c:v>
                </c:pt>
                <c:pt idx="13">
                  <c:v>国际学院</c:v>
                </c:pt>
                <c:pt idx="14">
                  <c:v>软件与物联网工程学院</c:v>
                </c:pt>
                <c:pt idx="15">
                  <c:v>会计学院</c:v>
                </c:pt>
              </c:strCache>
            </c:strRef>
          </c:cat>
          <c:val>
            <c:numRef>
              <c:f>人职适配1!$M$2:$M$17</c:f>
              <c:numCache>
                <c:formatCode>0.00%</c:formatCode>
                <c:ptCount val="16"/>
                <c:pt idx="0">
                  <c:v>0.33333333333333298</c:v>
                </c:pt>
                <c:pt idx="1">
                  <c:v>0.5</c:v>
                </c:pt>
                <c:pt idx="2">
                  <c:v>0.5</c:v>
                </c:pt>
                <c:pt idx="3">
                  <c:v>0.51428571428571401</c:v>
                </c:pt>
                <c:pt idx="4">
                  <c:v>0.560606060606061</c:v>
                </c:pt>
                <c:pt idx="5">
                  <c:v>0.57142857142857195</c:v>
                </c:pt>
                <c:pt idx="6">
                  <c:v>0.6</c:v>
                </c:pt>
                <c:pt idx="7">
                  <c:v>0.65909090909090895</c:v>
                </c:pt>
                <c:pt idx="8">
                  <c:v>0.66666666666666696</c:v>
                </c:pt>
                <c:pt idx="9">
                  <c:v>0.68</c:v>
                </c:pt>
                <c:pt idx="10">
                  <c:v>0.73333333333333295</c:v>
                </c:pt>
                <c:pt idx="11">
                  <c:v>0.80132450331125804</c:v>
                </c:pt>
                <c:pt idx="12">
                  <c:v>0.84</c:v>
                </c:pt>
                <c:pt idx="13">
                  <c:v>0.860759493670887</c:v>
                </c:pt>
                <c:pt idx="14">
                  <c:v>0.89230769230769202</c:v>
                </c:pt>
                <c:pt idx="15">
                  <c:v>0.93243243243243201</c:v>
                </c:pt>
              </c:numCache>
            </c:numRef>
          </c:val>
          <c:extLst>
            <c:ext xmlns:c16="http://schemas.microsoft.com/office/drawing/2014/chart" uri="{C3380CC4-5D6E-409C-BE32-E72D297353CC}">
              <c16:uniqueId val="{00000000-0486-C346-8651-B329FB8C6759}"/>
            </c:ext>
          </c:extLst>
        </c:ser>
        <c:ser>
          <c:idx val="1"/>
          <c:order val="1"/>
          <c:spPr>
            <a:solidFill>
              <a:srgbClr val="D00E2C">
                <a:alpha val="20000"/>
              </a:srgbClr>
            </a:solidFill>
            <a:ln>
              <a:noFill/>
            </a:ln>
            <a:effectLst/>
          </c:spPr>
          <c:invertIfNegative val="0"/>
          <c:cat>
            <c:strRef>
              <c:f>人职适配1!$L$2:$L$17</c:f>
              <c:strCache>
                <c:ptCount val="16"/>
                <c:pt idx="0">
                  <c:v>体育学院</c:v>
                </c:pt>
                <c:pt idx="1">
                  <c:v>统计学院</c:v>
                </c:pt>
                <c:pt idx="2">
                  <c:v>外国语学院</c:v>
                </c:pt>
                <c:pt idx="3">
                  <c:v>经济学院</c:v>
                </c:pt>
                <c:pt idx="4">
                  <c:v>国际经贸学院</c:v>
                </c:pt>
                <c:pt idx="5">
                  <c:v>人文学院</c:v>
                </c:pt>
                <c:pt idx="6">
                  <c:v>旅游与城市管理学院</c:v>
                </c:pt>
                <c:pt idx="7">
                  <c:v>艺术学院</c:v>
                </c:pt>
                <c:pt idx="8">
                  <c:v>信息管理学院</c:v>
                </c:pt>
                <c:pt idx="9">
                  <c:v>工商管理学院</c:v>
                </c:pt>
                <c:pt idx="10">
                  <c:v>财税与公共管理学院</c:v>
                </c:pt>
                <c:pt idx="11">
                  <c:v>金融学院</c:v>
                </c:pt>
                <c:pt idx="12">
                  <c:v>法学院</c:v>
                </c:pt>
                <c:pt idx="13">
                  <c:v>国际学院</c:v>
                </c:pt>
                <c:pt idx="14">
                  <c:v>软件与物联网工程学院</c:v>
                </c:pt>
                <c:pt idx="15">
                  <c:v>会计学院</c:v>
                </c:pt>
              </c:strCache>
            </c:strRef>
          </c:cat>
          <c:val>
            <c:numRef>
              <c:f>人职适配1!$N$2:$N$17</c:f>
              <c:numCache>
                <c:formatCode>0.00%</c:formatCode>
                <c:ptCount val="16"/>
                <c:pt idx="0">
                  <c:v>0.66666666666666696</c:v>
                </c:pt>
                <c:pt idx="1">
                  <c:v>0.5</c:v>
                </c:pt>
                <c:pt idx="2">
                  <c:v>0.5</c:v>
                </c:pt>
                <c:pt idx="3">
                  <c:v>0.48571428571428599</c:v>
                </c:pt>
                <c:pt idx="4">
                  <c:v>0.439393939393939</c:v>
                </c:pt>
                <c:pt idx="5">
                  <c:v>0.42857142857142899</c:v>
                </c:pt>
                <c:pt idx="6">
                  <c:v>0.4</c:v>
                </c:pt>
                <c:pt idx="7">
                  <c:v>0.34090909090909099</c:v>
                </c:pt>
                <c:pt idx="8">
                  <c:v>0.33333333333333298</c:v>
                </c:pt>
                <c:pt idx="9">
                  <c:v>0.32</c:v>
                </c:pt>
                <c:pt idx="10">
                  <c:v>0.266666666666667</c:v>
                </c:pt>
                <c:pt idx="11">
                  <c:v>0.19867549668874199</c:v>
                </c:pt>
                <c:pt idx="12">
                  <c:v>0.16</c:v>
                </c:pt>
                <c:pt idx="13">
                  <c:v>0.139240506329114</c:v>
                </c:pt>
                <c:pt idx="14">
                  <c:v>0.107692307692308</c:v>
                </c:pt>
                <c:pt idx="15">
                  <c:v>6.7567567567567502E-2</c:v>
                </c:pt>
              </c:numCache>
            </c:numRef>
          </c:val>
          <c:extLst>
            <c:ext xmlns:c16="http://schemas.microsoft.com/office/drawing/2014/chart" uri="{C3380CC4-5D6E-409C-BE32-E72D297353CC}">
              <c16:uniqueId val="{00000001-0486-C346-8651-B329FB8C6759}"/>
            </c:ext>
          </c:extLst>
        </c:ser>
        <c:dLbls>
          <c:showLegendKey val="0"/>
          <c:showVal val="0"/>
          <c:showCatName val="0"/>
          <c:showSerName val="0"/>
          <c:showPercent val="0"/>
          <c:showBubbleSize val="0"/>
        </c:dLbls>
        <c:gapWidth val="50"/>
        <c:overlap val="100"/>
        <c:axId val="240262528"/>
        <c:axId val="240272512"/>
      </c:barChart>
      <c:catAx>
        <c:axId val="2402625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0272512"/>
        <c:crosses val="autoZero"/>
        <c:auto val="1"/>
        <c:lblAlgn val="ctr"/>
        <c:lblOffset val="100"/>
        <c:noMultiLvlLbl val="0"/>
      </c:catAx>
      <c:valAx>
        <c:axId val="240272512"/>
        <c:scaling>
          <c:orientation val="minMax"/>
          <c:max val="1"/>
        </c:scaling>
        <c:delete val="1"/>
        <c:axPos val="b"/>
        <c:numFmt formatCode="0.00%" sourceLinked="1"/>
        <c:majorTickMark val="none"/>
        <c:minorTickMark val="none"/>
        <c:tickLblPos val="nextTo"/>
        <c:crossAx val="24026252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19502309046813E-2"/>
          <c:y val="4.1548630783758297E-2"/>
          <c:w val="0.93484301804046599"/>
          <c:h val="0.69914746624175705"/>
        </c:manualLayout>
      </c:layout>
      <c:lineChart>
        <c:grouping val="standard"/>
        <c:varyColors val="0"/>
        <c:ser>
          <c:idx val="0"/>
          <c:order val="0"/>
          <c:tx>
            <c:strRef>
              <c:f>人职适配!$O$1</c:f>
              <c:strCache>
                <c:ptCount val="1"/>
                <c:pt idx="0">
                  <c:v>男</c:v>
                </c:pt>
              </c:strCache>
            </c:strRef>
          </c:tx>
          <c:spPr>
            <a:ln w="28575" cap="rnd" cmpd="sng" algn="ctr">
              <a:solidFill>
                <a:schemeClr val="accent1"/>
              </a:solidFill>
              <a:prstDash val="solid"/>
              <a:round/>
            </a:ln>
            <a:effectLst/>
          </c:spPr>
          <c:marker>
            <c:symbol val="circle"/>
            <c:size val="5"/>
            <c:spPr>
              <a:solidFill>
                <a:schemeClr val="accent1"/>
              </a:solidFill>
              <a:ln w="9525" cap="flat" cmpd="sng" algn="ctr">
                <a:solidFill>
                  <a:schemeClr val="accent1"/>
                </a:solidFill>
                <a:prstDash val="solid"/>
                <a:round/>
              </a:ln>
              <a:effectLst/>
            </c:spPr>
          </c:marker>
          <c:dLbls>
            <c:dLbl>
              <c:idx val="8"/>
              <c:layout>
                <c:manualLayout>
                  <c:x val="-0.10337552742616"/>
                  <c:y val="-0.131633616619452"/>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800" b="0" i="0" u="none" strike="noStrike" kern="1200" baseline="0">
                    <a:solidFill>
                      <a:schemeClr val="tx1">
                        <a:lumMod val="75000"/>
                        <a:lumOff val="25000"/>
                      </a:schemeClr>
                    </a:solidFill>
                    <a:latin typeface="黑体" panose="02010609060101010101" charset="-122"/>
                    <a:ea typeface="黑体" panose="02010609060101010101" charset="-122"/>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人职适配!$N$2:$N$15</c:f>
              <c:strCache>
                <c:ptCount val="14"/>
                <c:pt idx="0">
                  <c:v>统计学院</c:v>
                </c:pt>
                <c:pt idx="1">
                  <c:v>国际经贸学院</c:v>
                </c:pt>
                <c:pt idx="2">
                  <c:v>经济学院</c:v>
                </c:pt>
                <c:pt idx="3">
                  <c:v>工商管理学院</c:v>
                </c:pt>
                <c:pt idx="4">
                  <c:v>人文学院</c:v>
                </c:pt>
                <c:pt idx="5">
                  <c:v>旅游与城市管理学院</c:v>
                </c:pt>
                <c:pt idx="6">
                  <c:v>信息管理学院</c:v>
                </c:pt>
                <c:pt idx="7">
                  <c:v>艺术学院</c:v>
                </c:pt>
                <c:pt idx="8">
                  <c:v>金融学院</c:v>
                </c:pt>
                <c:pt idx="9">
                  <c:v>财税与公共管理学院</c:v>
                </c:pt>
                <c:pt idx="10">
                  <c:v>国际学院</c:v>
                </c:pt>
                <c:pt idx="11">
                  <c:v>法学院</c:v>
                </c:pt>
                <c:pt idx="12">
                  <c:v>软件与物联网工程学院</c:v>
                </c:pt>
                <c:pt idx="13">
                  <c:v>会计学院</c:v>
                </c:pt>
              </c:strCache>
            </c:strRef>
          </c:cat>
          <c:val>
            <c:numRef>
              <c:f>人职适配!$O$2:$O$15</c:f>
              <c:numCache>
                <c:formatCode>0.00%</c:formatCode>
                <c:ptCount val="14"/>
                <c:pt idx="0">
                  <c:v>0.5</c:v>
                </c:pt>
                <c:pt idx="1">
                  <c:v>0.54166666666666696</c:v>
                </c:pt>
                <c:pt idx="2">
                  <c:v>0.5625</c:v>
                </c:pt>
                <c:pt idx="3">
                  <c:v>0.62068965517241503</c:v>
                </c:pt>
                <c:pt idx="4">
                  <c:v>0.66666666666666696</c:v>
                </c:pt>
                <c:pt idx="5">
                  <c:v>0.7</c:v>
                </c:pt>
                <c:pt idx="6">
                  <c:v>0.72727272727272696</c:v>
                </c:pt>
                <c:pt idx="7">
                  <c:v>0.73913043478260898</c:v>
                </c:pt>
                <c:pt idx="8">
                  <c:v>0.73972602739726001</c:v>
                </c:pt>
                <c:pt idx="9">
                  <c:v>0.75</c:v>
                </c:pt>
                <c:pt idx="10">
                  <c:v>0.86486486486486502</c:v>
                </c:pt>
                <c:pt idx="11">
                  <c:v>0.9</c:v>
                </c:pt>
                <c:pt idx="12">
                  <c:v>0.90384615384615397</c:v>
                </c:pt>
                <c:pt idx="13">
                  <c:v>0.92857142857142905</c:v>
                </c:pt>
              </c:numCache>
            </c:numRef>
          </c:val>
          <c:smooth val="0"/>
          <c:extLst>
            <c:ext xmlns:c16="http://schemas.microsoft.com/office/drawing/2014/chart" uri="{C3380CC4-5D6E-409C-BE32-E72D297353CC}">
              <c16:uniqueId val="{00000000-ECFC-804E-936B-888BA754E8DD}"/>
            </c:ext>
          </c:extLst>
        </c:ser>
        <c:ser>
          <c:idx val="1"/>
          <c:order val="1"/>
          <c:tx>
            <c:strRef>
              <c:f>人职适配!$P$1</c:f>
              <c:strCache>
                <c:ptCount val="1"/>
                <c:pt idx="0">
                  <c:v>女</c:v>
                </c:pt>
              </c:strCache>
            </c:strRef>
          </c:tx>
          <c:spPr>
            <a:ln w="28575" cap="rnd" cmpd="sng" algn="ctr">
              <a:solidFill>
                <a:srgbClr val="D00E2C">
                  <a:alpha val="60000"/>
                </a:srgbClr>
              </a:solidFill>
              <a:prstDash val="solid"/>
              <a:round/>
            </a:ln>
            <a:effectLst/>
          </c:spPr>
          <c:marker>
            <c:symbol val="circle"/>
            <c:size val="5"/>
            <c:spPr>
              <a:solidFill>
                <a:schemeClr val="accent2"/>
              </a:solidFill>
              <a:ln w="9525" cap="flat" cmpd="sng" algn="ctr">
                <a:solidFill>
                  <a:srgbClr val="D00E2C">
                    <a:alpha val="60000"/>
                  </a:srgbClr>
                </a:solidFill>
                <a:prstDash val="solid"/>
                <a:round/>
              </a:ln>
              <a:effectLst/>
            </c:spPr>
          </c:marker>
          <c:dLbls>
            <c:dLbl>
              <c:idx val="3"/>
              <c:layout>
                <c:manualLayout>
                  <c:x val="-4.6413502109704699E-2"/>
                  <c:y val="0.10141643059490101"/>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4.6413502109704602E-2"/>
                  <c:y val="0.13918791312559001"/>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lstStyle/>
              <a:p>
                <a:pPr>
                  <a:defRPr lang="zh-CN" sz="800" b="0" i="0" u="none" strike="noStrike" kern="1200" baseline="0">
                    <a:solidFill>
                      <a:schemeClr val="tx1">
                        <a:lumMod val="75000"/>
                        <a:lumOff val="25000"/>
                      </a:schemeClr>
                    </a:solidFill>
                    <a:latin typeface="黑体" panose="02010609060101010101" charset="-122"/>
                    <a:ea typeface="黑体" panose="02010609060101010101" charset="-122"/>
                    <a:cs typeface="+mn-cs"/>
                  </a:defRPr>
                </a:pPr>
                <a:endParaRPr lang="zh-CN"/>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人职适配!$N$2:$N$15</c:f>
              <c:strCache>
                <c:ptCount val="14"/>
                <c:pt idx="0">
                  <c:v>统计学院</c:v>
                </c:pt>
                <c:pt idx="1">
                  <c:v>国际经贸学院</c:v>
                </c:pt>
                <c:pt idx="2">
                  <c:v>经济学院</c:v>
                </c:pt>
                <c:pt idx="3">
                  <c:v>工商管理学院</c:v>
                </c:pt>
                <c:pt idx="4">
                  <c:v>人文学院</c:v>
                </c:pt>
                <c:pt idx="5">
                  <c:v>旅游与城市管理学院</c:v>
                </c:pt>
                <c:pt idx="6">
                  <c:v>信息管理学院</c:v>
                </c:pt>
                <c:pt idx="7">
                  <c:v>艺术学院</c:v>
                </c:pt>
                <c:pt idx="8">
                  <c:v>金融学院</c:v>
                </c:pt>
                <c:pt idx="9">
                  <c:v>财税与公共管理学院</c:v>
                </c:pt>
                <c:pt idx="10">
                  <c:v>国际学院</c:v>
                </c:pt>
                <c:pt idx="11">
                  <c:v>法学院</c:v>
                </c:pt>
                <c:pt idx="12">
                  <c:v>软件与物联网工程学院</c:v>
                </c:pt>
                <c:pt idx="13">
                  <c:v>会计学院</c:v>
                </c:pt>
              </c:strCache>
            </c:strRef>
          </c:cat>
          <c:val>
            <c:numRef>
              <c:f>人职适配!$P$2:$P$15</c:f>
              <c:numCache>
                <c:formatCode>0.00%</c:formatCode>
                <c:ptCount val="14"/>
                <c:pt idx="0">
                  <c:v>0.5</c:v>
                </c:pt>
                <c:pt idx="1">
                  <c:v>0.57142857142857195</c:v>
                </c:pt>
                <c:pt idx="2">
                  <c:v>0.47368421052631599</c:v>
                </c:pt>
                <c:pt idx="3">
                  <c:v>0.71739130434782605</c:v>
                </c:pt>
                <c:pt idx="4">
                  <c:v>0.5</c:v>
                </c:pt>
                <c:pt idx="5">
                  <c:v>0.55000000000000004</c:v>
                </c:pt>
                <c:pt idx="6">
                  <c:v>0.6</c:v>
                </c:pt>
                <c:pt idx="7">
                  <c:v>0.57142857142857195</c:v>
                </c:pt>
                <c:pt idx="8">
                  <c:v>0.85897435897435903</c:v>
                </c:pt>
                <c:pt idx="9">
                  <c:v>0.72413793103448298</c:v>
                </c:pt>
                <c:pt idx="10">
                  <c:v>0.85714285714285698</c:v>
                </c:pt>
                <c:pt idx="11">
                  <c:v>0.8</c:v>
                </c:pt>
                <c:pt idx="12">
                  <c:v>0.84615384615384703</c:v>
                </c:pt>
                <c:pt idx="13">
                  <c:v>0.934782608695652</c:v>
                </c:pt>
              </c:numCache>
            </c:numRef>
          </c:val>
          <c:smooth val="0"/>
          <c:extLst>
            <c:ext xmlns:c16="http://schemas.microsoft.com/office/drawing/2014/chart" uri="{C3380CC4-5D6E-409C-BE32-E72D297353CC}">
              <c16:uniqueId val="{00000001-ECFC-804E-936B-888BA754E8DD}"/>
            </c:ext>
          </c:extLst>
        </c:ser>
        <c:dLbls>
          <c:showLegendKey val="0"/>
          <c:showVal val="1"/>
          <c:showCatName val="0"/>
          <c:showSerName val="0"/>
          <c:showPercent val="0"/>
          <c:showBubbleSize val="0"/>
        </c:dLbls>
        <c:marker val="1"/>
        <c:smooth val="0"/>
        <c:axId val="242435584"/>
        <c:axId val="242437120"/>
      </c:lineChart>
      <c:catAx>
        <c:axId val="242435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800" b="0" i="0" u="none" strike="noStrike" kern="1200" baseline="0">
                <a:solidFill>
                  <a:schemeClr val="tx1">
                    <a:lumMod val="65000"/>
                    <a:lumOff val="35000"/>
                  </a:schemeClr>
                </a:solidFill>
                <a:latin typeface="黑体" panose="02010609060101010101" charset="-122"/>
                <a:ea typeface="黑体" panose="02010609060101010101" charset="-122"/>
                <a:cs typeface="+mn-cs"/>
              </a:defRPr>
            </a:pPr>
            <a:endParaRPr lang="zh-CN"/>
          </a:p>
        </c:txPr>
        <c:crossAx val="242437120"/>
        <c:crosses val="autoZero"/>
        <c:auto val="1"/>
        <c:lblAlgn val="ctr"/>
        <c:lblOffset val="100"/>
        <c:noMultiLvlLbl val="0"/>
      </c:catAx>
      <c:valAx>
        <c:axId val="242437120"/>
        <c:scaling>
          <c:orientation val="minMax"/>
        </c:scaling>
        <c:delete val="1"/>
        <c:axPos val="l"/>
        <c:numFmt formatCode="0.00%" sourceLinked="1"/>
        <c:majorTickMark val="none"/>
        <c:minorTickMark val="none"/>
        <c:tickLblPos val="nextTo"/>
        <c:crossAx val="242435584"/>
        <c:crosses val="autoZero"/>
        <c:crossBetween val="between"/>
      </c:valAx>
      <c:spPr>
        <a:noFill/>
        <a:ln>
          <a:noFill/>
        </a:ln>
        <a:effectLst/>
      </c:spPr>
    </c:plotArea>
    <c:legend>
      <c:legendPos val="b"/>
      <c:layout>
        <c:manualLayout>
          <c:xMode val="edge"/>
          <c:yMode val="edge"/>
          <c:x val="6.20253164556962E-2"/>
          <c:y val="3.33899905571294E-2"/>
          <c:w val="0.16372093023255799"/>
          <c:h val="5.4021723718554203E-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latin typeface="黑体" panose="02010609060101010101" charset="-122"/>
          <a:ea typeface="黑体" panose="02010609060101010101" charset="-122"/>
        </a:defRPr>
      </a:pPr>
      <a:endParaRPr lang="zh-CN"/>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dLbl>
              <c:idx val="1"/>
              <c:tx>
                <c:rich>
                  <a:bodyPr/>
                  <a:lstStyle/>
                  <a:p>
                    <a:fld id="{77338783-46B8-4948-AF8F-902D6D6C2623}" type="CATEGORYNAME">
                      <a:rPr lang="zh-CN" altLang="en-US"/>
                      <a:pPr/>
                      <a:t>[类别名称]</a:t>
                    </a:fld>
                    <a:r>
                      <a:t>,</a:t>
                    </a:r>
                    <a:fld id="{842D49D7-FD96-4B99-9416-46A5754ED299}"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4"/>
              <c:tx>
                <c:rich>
                  <a:bodyPr/>
                  <a:lstStyle/>
                  <a:p>
                    <a:fld id="{3F484095-EF61-4AE1-8167-F2BF21827A53}" type="CATEGORYNAME">
                      <a:rPr lang="zh-CN" altLang="en-US"/>
                      <a:pPr/>
                      <a:t>[类别名称]</a:t>
                    </a:fld>
                    <a:r>
                      <a:t>,</a:t>
                    </a:r>
                    <a:fld id="{B3C9DDD8-D0D5-408E-BA34-1FDB94D5770B}"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人职适配1!$A$37:$A$41</c:f>
              <c:strCache>
                <c:ptCount val="5"/>
                <c:pt idx="0">
                  <c:v>非常满意</c:v>
                </c:pt>
                <c:pt idx="1">
                  <c:v>满意</c:v>
                </c:pt>
                <c:pt idx="2">
                  <c:v>比较满意</c:v>
                </c:pt>
                <c:pt idx="3">
                  <c:v>不太满意</c:v>
                </c:pt>
                <c:pt idx="4">
                  <c:v>很不满意</c:v>
                </c:pt>
              </c:strCache>
            </c:strRef>
          </c:cat>
          <c:val>
            <c:numRef>
              <c:f>人职适配1!$C$37:$C$41</c:f>
              <c:numCache>
                <c:formatCode>0.00%</c:formatCode>
                <c:ptCount val="5"/>
                <c:pt idx="0">
                  <c:v>0.14237288135593201</c:v>
                </c:pt>
                <c:pt idx="1">
                  <c:v>0.27457627118644201</c:v>
                </c:pt>
                <c:pt idx="2">
                  <c:v>0.305084745762712</c:v>
                </c:pt>
                <c:pt idx="3">
                  <c:v>0.227118644067797</c:v>
                </c:pt>
                <c:pt idx="4">
                  <c:v>5.0847457627118599E-2</c:v>
                </c:pt>
              </c:numCache>
            </c:numRef>
          </c:val>
          <c:extLst>
            <c:ext xmlns:c16="http://schemas.microsoft.com/office/drawing/2014/chart" uri="{C3380CC4-5D6E-409C-BE32-E72D297353CC}">
              <c16:uniqueId val="{00000000-045A-8A4E-9790-9CEB25860885}"/>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132507257810901"/>
          <c:y val="3.3716475095785403E-2"/>
          <c:w val="0.681523650408139"/>
          <c:h val="0.93256704980842797"/>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薪资福利!$B$157:$B$172</c:f>
              <c:strCache>
                <c:ptCount val="16"/>
                <c:pt idx="0">
                  <c:v>法学院</c:v>
                </c:pt>
                <c:pt idx="1">
                  <c:v>统计学院</c:v>
                </c:pt>
                <c:pt idx="2">
                  <c:v>艺术学院</c:v>
                </c:pt>
                <c:pt idx="3">
                  <c:v>体育学院</c:v>
                </c:pt>
                <c:pt idx="4">
                  <c:v>旅游与城市管理学院</c:v>
                </c:pt>
                <c:pt idx="5">
                  <c:v>国际经贸学院</c:v>
                </c:pt>
                <c:pt idx="6">
                  <c:v>人文学院</c:v>
                </c:pt>
                <c:pt idx="7">
                  <c:v>外国语学院</c:v>
                </c:pt>
                <c:pt idx="8">
                  <c:v>财税与公共管理学院</c:v>
                </c:pt>
                <c:pt idx="9">
                  <c:v>经济学院</c:v>
                </c:pt>
                <c:pt idx="10">
                  <c:v>工商管理学院</c:v>
                </c:pt>
                <c:pt idx="11">
                  <c:v>金融学院</c:v>
                </c:pt>
                <c:pt idx="12">
                  <c:v>国际学院</c:v>
                </c:pt>
                <c:pt idx="13">
                  <c:v>信息管理学院</c:v>
                </c:pt>
                <c:pt idx="14">
                  <c:v>会计学院</c:v>
                </c:pt>
                <c:pt idx="15">
                  <c:v>软件与物联网工程学院</c:v>
                </c:pt>
              </c:strCache>
            </c:strRef>
          </c:cat>
          <c:val>
            <c:numRef>
              <c:f>薪资福利!$C$157:$C$172</c:f>
              <c:numCache>
                <c:formatCode>0</c:formatCode>
                <c:ptCount val="16"/>
                <c:pt idx="0">
                  <c:v>4881.6052631579096</c:v>
                </c:pt>
                <c:pt idx="1">
                  <c:v>5118.4473684210498</c:v>
                </c:pt>
                <c:pt idx="2">
                  <c:v>5359.6842105263204</c:v>
                </c:pt>
                <c:pt idx="3">
                  <c:v>5404.8095238095202</c:v>
                </c:pt>
                <c:pt idx="4">
                  <c:v>5519.2692307692296</c:v>
                </c:pt>
                <c:pt idx="5">
                  <c:v>5613.9367088607596</c:v>
                </c:pt>
                <c:pt idx="6">
                  <c:v>5625.0416666666797</c:v>
                </c:pt>
                <c:pt idx="7">
                  <c:v>5736.8947368421004</c:v>
                </c:pt>
                <c:pt idx="8">
                  <c:v>6066.6833333333298</c:v>
                </c:pt>
                <c:pt idx="9">
                  <c:v>6068.25</c:v>
                </c:pt>
                <c:pt idx="10">
                  <c:v>6508.4</c:v>
                </c:pt>
                <c:pt idx="11">
                  <c:v>6547.25555555556</c:v>
                </c:pt>
                <c:pt idx="12">
                  <c:v>6734.6666666666797</c:v>
                </c:pt>
                <c:pt idx="13">
                  <c:v>6833.3703703703704</c:v>
                </c:pt>
                <c:pt idx="14">
                  <c:v>6893.6</c:v>
                </c:pt>
                <c:pt idx="15">
                  <c:v>7421.6142857142904</c:v>
                </c:pt>
              </c:numCache>
            </c:numRef>
          </c:val>
          <c:extLst>
            <c:ext xmlns:c16="http://schemas.microsoft.com/office/drawing/2014/chart" uri="{C3380CC4-5D6E-409C-BE32-E72D297353CC}">
              <c16:uniqueId val="{00000000-BCE8-814A-A092-F27F0107A84C}"/>
            </c:ext>
          </c:extLst>
        </c:ser>
        <c:dLbls>
          <c:showLegendKey val="0"/>
          <c:showVal val="1"/>
          <c:showCatName val="0"/>
          <c:showSerName val="0"/>
          <c:showPercent val="0"/>
          <c:showBubbleSize val="0"/>
        </c:dLbls>
        <c:gapWidth val="100"/>
        <c:axId val="242649344"/>
        <c:axId val="242659328"/>
      </c:barChart>
      <c:catAx>
        <c:axId val="242649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659328"/>
        <c:crosses val="autoZero"/>
        <c:auto val="1"/>
        <c:lblAlgn val="ctr"/>
        <c:lblOffset val="100"/>
        <c:noMultiLvlLbl val="0"/>
      </c:catAx>
      <c:valAx>
        <c:axId val="242659328"/>
        <c:scaling>
          <c:orientation val="minMax"/>
        </c:scaling>
        <c:delete val="1"/>
        <c:axPos val="b"/>
        <c:numFmt formatCode="0" sourceLinked="1"/>
        <c:majorTickMark val="none"/>
        <c:minorTickMark val="none"/>
        <c:tickLblPos val="nextTo"/>
        <c:crossAx val="24264934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6612363109784"/>
          <c:y val="3.3716475095785403E-2"/>
          <c:w val="0.75623631097836896"/>
          <c:h val="0.93256704980842797"/>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薪资福利!$B$209:$B$218</c:f>
              <c:strCache>
                <c:ptCount val="10"/>
                <c:pt idx="0">
                  <c:v>融资租赁</c:v>
                </c:pt>
                <c:pt idx="1">
                  <c:v>保险</c:v>
                </c:pt>
                <c:pt idx="2">
                  <c:v>证券</c:v>
                </c:pt>
                <c:pt idx="3">
                  <c:v>期货</c:v>
                </c:pt>
                <c:pt idx="4">
                  <c:v>基金</c:v>
                </c:pt>
                <c:pt idx="5">
                  <c:v>其他金融</c:v>
                </c:pt>
                <c:pt idx="6">
                  <c:v>银行</c:v>
                </c:pt>
                <c:pt idx="7">
                  <c:v>资产管理</c:v>
                </c:pt>
                <c:pt idx="8">
                  <c:v>新金融</c:v>
                </c:pt>
                <c:pt idx="9">
                  <c:v>信托</c:v>
                </c:pt>
              </c:strCache>
            </c:strRef>
          </c:cat>
          <c:val>
            <c:numRef>
              <c:f>薪资福利!$C$209:$C$218</c:f>
              <c:numCache>
                <c:formatCode>0</c:formatCode>
                <c:ptCount val="10"/>
                <c:pt idx="0">
                  <c:v>5000</c:v>
                </c:pt>
                <c:pt idx="1">
                  <c:v>5823.5588235294099</c:v>
                </c:pt>
                <c:pt idx="2">
                  <c:v>6069</c:v>
                </c:pt>
                <c:pt idx="3">
                  <c:v>6166.6666666666797</c:v>
                </c:pt>
                <c:pt idx="4">
                  <c:v>6333.3333333333303</c:v>
                </c:pt>
                <c:pt idx="5">
                  <c:v>6440.7288135593199</c:v>
                </c:pt>
                <c:pt idx="6">
                  <c:v>6477.9613259668504</c:v>
                </c:pt>
                <c:pt idx="7">
                  <c:v>6575.05</c:v>
                </c:pt>
                <c:pt idx="8">
                  <c:v>6681.8181818181802</c:v>
                </c:pt>
                <c:pt idx="9">
                  <c:v>8750.5</c:v>
                </c:pt>
              </c:numCache>
            </c:numRef>
          </c:val>
          <c:extLst>
            <c:ext xmlns:c16="http://schemas.microsoft.com/office/drawing/2014/chart" uri="{C3380CC4-5D6E-409C-BE32-E72D297353CC}">
              <c16:uniqueId val="{00000000-5BA3-3641-900A-1DC3A7D40491}"/>
            </c:ext>
          </c:extLst>
        </c:ser>
        <c:dLbls>
          <c:showLegendKey val="0"/>
          <c:showVal val="1"/>
          <c:showCatName val="0"/>
          <c:showSerName val="0"/>
          <c:showPercent val="0"/>
          <c:showBubbleSize val="0"/>
        </c:dLbls>
        <c:gapWidth val="100"/>
        <c:axId val="242666496"/>
        <c:axId val="242672384"/>
      </c:barChart>
      <c:catAx>
        <c:axId val="2426664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672384"/>
        <c:crosses val="autoZero"/>
        <c:auto val="1"/>
        <c:lblAlgn val="ctr"/>
        <c:lblOffset val="100"/>
        <c:noMultiLvlLbl val="0"/>
      </c:catAx>
      <c:valAx>
        <c:axId val="242672384"/>
        <c:scaling>
          <c:orientation val="minMax"/>
        </c:scaling>
        <c:delete val="1"/>
        <c:axPos val="b"/>
        <c:numFmt formatCode="0" sourceLinked="1"/>
        <c:majorTickMark val="none"/>
        <c:minorTickMark val="none"/>
        <c:tickLblPos val="nextTo"/>
        <c:crossAx val="24266649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dLbl>
              <c:idx val="0"/>
              <c:layout>
                <c:manualLayout>
                  <c:x val="3.1683168316831697E-2"/>
                  <c:y val="0"/>
                </c:manualLayout>
              </c:layout>
              <c:tx>
                <c:rich>
                  <a:bodyPr/>
                  <a:lstStyle/>
                  <a:p>
                    <a:fld id="{88D145D5-5C7C-45A4-BAFF-4E70563113BD}" type="CATEGORYNAME">
                      <a:rPr lang="zh-CN" altLang="en-US"/>
                      <a:pPr/>
                      <a:t>[类别名称]</a:t>
                    </a:fld>
                    <a:r>
                      <a:t>,</a:t>
                    </a:r>
                    <a:fld id="{3A9A4731-59D5-4BE5-90AA-E411FCA797FF}" type="VALUE">
                      <a:rPr lang="zh-CN" altLang="en-US"/>
                      <a:pPr/>
                      <a:t>[值]</a:t>
                    </a:fld>
                    <a:endParaRPr/>
                  </a:p>
                </c:rich>
              </c:tx>
              <c:dLblPos val="bestFit"/>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5B191362-5F11-452C-974B-07FD3F26F7B4}" type="CATEGORYNAME">
                      <a:rPr lang="zh-CN" altLang="en-US"/>
                      <a:pPr/>
                      <a:t>[类别名称]</a:t>
                    </a:fld>
                    <a:r>
                      <a:t>,</a:t>
                    </a:r>
                    <a:fld id="{87682894-1568-4065-81E4-B7A78E94410B}"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4"/>
              <c:layout>
                <c:manualLayout>
                  <c:x val="-7.6567656765676603E-2"/>
                  <c:y val="0"/>
                </c:manualLayout>
              </c:layout>
              <c:tx>
                <c:rich>
                  <a:bodyPr/>
                  <a:lstStyle/>
                  <a:p>
                    <a:fld id="{74850323-2F09-49EA-BF93-15691CE281E9}" type="CATEGORYNAME">
                      <a:rPr lang="zh-CN" altLang="en-US"/>
                      <a:pPr/>
                      <a:t>[类别名称]</a:t>
                    </a:fld>
                    <a:r>
                      <a:t>,</a:t>
                    </a:r>
                    <a:fld id="{353A343A-35D1-476C-935F-6189CB6506BF}" type="VALUE">
                      <a:rPr lang="zh-CN" altLang="en-US"/>
                      <a:pPr/>
                      <a:t>[值]</a:t>
                    </a:fld>
                    <a:endParaRPr/>
                  </a:p>
                </c:rich>
              </c:tx>
              <c:dLblPos val="bestFit"/>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extLst>
              <c:ext xmlns:c15="http://schemas.microsoft.com/office/drawing/2012/chart" uri="{CE6537A1-D6FC-4f65-9D91-7224C49458BB}"/>
            </c:extLst>
          </c:dLbls>
          <c:cat>
            <c:strRef>
              <c:f>薪资福利!$A$101:$A$105</c:f>
              <c:strCache>
                <c:ptCount val="5"/>
                <c:pt idx="0">
                  <c:v>非常满意</c:v>
                </c:pt>
                <c:pt idx="1">
                  <c:v>满意</c:v>
                </c:pt>
                <c:pt idx="2">
                  <c:v>比较满意</c:v>
                </c:pt>
                <c:pt idx="3">
                  <c:v>不太满意</c:v>
                </c:pt>
                <c:pt idx="4">
                  <c:v>很不满意</c:v>
                </c:pt>
              </c:strCache>
            </c:strRef>
          </c:cat>
          <c:val>
            <c:numRef>
              <c:f>薪资福利!$B$101:$B$105</c:f>
              <c:numCache>
                <c:formatCode>0.00%</c:formatCode>
                <c:ptCount val="5"/>
                <c:pt idx="0">
                  <c:v>5.21978021978022E-2</c:v>
                </c:pt>
                <c:pt idx="1">
                  <c:v>0.195054945054945</c:v>
                </c:pt>
                <c:pt idx="2">
                  <c:v>0.44139194139194099</c:v>
                </c:pt>
                <c:pt idx="3">
                  <c:v>0.29212454212454197</c:v>
                </c:pt>
                <c:pt idx="4">
                  <c:v>1.9230769230769201E-2</c:v>
                </c:pt>
              </c:numCache>
            </c:numRef>
          </c:val>
          <c:extLst>
            <c:ext xmlns:c16="http://schemas.microsoft.com/office/drawing/2014/chart" uri="{C3380CC4-5D6E-409C-BE32-E72D297353CC}">
              <c16:uniqueId val="{00000000-9FF3-1446-BA1D-657CFB9FEBEC}"/>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岗位评价!$A$179:$A$184</c:f>
              <c:strCache>
                <c:ptCount val="6"/>
                <c:pt idx="0">
                  <c:v>0次</c:v>
                </c:pt>
                <c:pt idx="1">
                  <c:v>1次</c:v>
                </c:pt>
                <c:pt idx="2">
                  <c:v>2次</c:v>
                </c:pt>
                <c:pt idx="3">
                  <c:v>3次</c:v>
                </c:pt>
                <c:pt idx="4">
                  <c:v>4次</c:v>
                </c:pt>
                <c:pt idx="5">
                  <c:v>5次</c:v>
                </c:pt>
              </c:strCache>
            </c:strRef>
          </c:cat>
          <c:val>
            <c:numRef>
              <c:f>岗位评价!$B$179:$B$184</c:f>
              <c:numCache>
                <c:formatCode>0.00%</c:formatCode>
                <c:ptCount val="6"/>
                <c:pt idx="0">
                  <c:v>0.87637362637362703</c:v>
                </c:pt>
                <c:pt idx="1">
                  <c:v>8.0586080586080702E-2</c:v>
                </c:pt>
                <c:pt idx="2">
                  <c:v>2.5641025641025599E-2</c:v>
                </c:pt>
                <c:pt idx="3">
                  <c:v>1.0989010989011E-2</c:v>
                </c:pt>
                <c:pt idx="4">
                  <c:v>4.5787545787545798E-3</c:v>
                </c:pt>
                <c:pt idx="5">
                  <c:v>1.83150183150183E-3</c:v>
                </c:pt>
              </c:numCache>
            </c:numRef>
          </c:val>
          <c:extLst>
            <c:ext xmlns:c16="http://schemas.microsoft.com/office/drawing/2014/chart" uri="{C3380CC4-5D6E-409C-BE32-E72D297353CC}">
              <c16:uniqueId val="{00000000-E57A-1740-9887-0839A6A6511E}"/>
            </c:ext>
          </c:extLst>
        </c:ser>
        <c:dLbls>
          <c:showLegendKey val="0"/>
          <c:showVal val="1"/>
          <c:showCatName val="0"/>
          <c:showSerName val="0"/>
          <c:showPercent val="0"/>
          <c:showBubbleSize val="0"/>
        </c:dLbls>
        <c:gapWidth val="150"/>
        <c:overlap val="-27"/>
        <c:axId val="242727936"/>
        <c:axId val="242737920"/>
      </c:barChart>
      <c:catAx>
        <c:axId val="242727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737920"/>
        <c:crosses val="autoZero"/>
        <c:auto val="1"/>
        <c:lblAlgn val="ctr"/>
        <c:lblOffset val="100"/>
        <c:noMultiLvlLbl val="0"/>
      </c:catAx>
      <c:valAx>
        <c:axId val="242737920"/>
        <c:scaling>
          <c:orientation val="minMax"/>
        </c:scaling>
        <c:delete val="1"/>
        <c:axPos val="l"/>
        <c:numFmt formatCode="0.00%" sourceLinked="1"/>
        <c:majorTickMark val="none"/>
        <c:minorTickMark val="none"/>
        <c:tickLblPos val="nextTo"/>
        <c:crossAx val="24272793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岗位评价!$A$200:$A$209</c:f>
              <c:strCache>
                <c:ptCount val="10"/>
                <c:pt idx="0">
                  <c:v>准备继续深造</c:v>
                </c:pt>
                <c:pt idx="1">
                  <c:v>与领导/同事关系不好</c:v>
                </c:pt>
                <c:pt idx="2">
                  <c:v>对单位管理制度和文化不适应</c:v>
                </c:pt>
                <c:pt idx="3">
                  <c:v>家庭原因</c:v>
                </c:pt>
                <c:pt idx="4">
                  <c:v>想改变职业或行业</c:v>
                </c:pt>
                <c:pt idx="5">
                  <c:v>工作环境不好</c:v>
                </c:pt>
                <c:pt idx="6">
                  <c:v>工作地域问题</c:v>
                </c:pt>
                <c:pt idx="7">
                  <c:v>工作压力大</c:v>
                </c:pt>
                <c:pt idx="8">
                  <c:v>发展空间不大</c:v>
                </c:pt>
                <c:pt idx="9">
                  <c:v>薪资福利差</c:v>
                </c:pt>
              </c:strCache>
            </c:strRef>
          </c:cat>
          <c:val>
            <c:numRef>
              <c:f>岗位评价!$C$200:$C$209</c:f>
              <c:numCache>
                <c:formatCode>0.00%</c:formatCode>
                <c:ptCount val="10"/>
                <c:pt idx="0">
                  <c:v>4.3499999999999997E-2</c:v>
                </c:pt>
                <c:pt idx="1">
                  <c:v>4.9700000000000001E-2</c:v>
                </c:pt>
                <c:pt idx="2">
                  <c:v>5.8000000000000003E-2</c:v>
                </c:pt>
                <c:pt idx="3">
                  <c:v>7.6600000000000001E-2</c:v>
                </c:pt>
                <c:pt idx="4">
                  <c:v>7.8700000000000006E-2</c:v>
                </c:pt>
                <c:pt idx="5">
                  <c:v>9.11E-2</c:v>
                </c:pt>
                <c:pt idx="6">
                  <c:v>9.3200000000000005E-2</c:v>
                </c:pt>
                <c:pt idx="7">
                  <c:v>0.14910000000000001</c:v>
                </c:pt>
                <c:pt idx="8">
                  <c:v>0.17810000000000001</c:v>
                </c:pt>
                <c:pt idx="9">
                  <c:v>0.1822</c:v>
                </c:pt>
              </c:numCache>
            </c:numRef>
          </c:val>
          <c:extLst>
            <c:ext xmlns:c16="http://schemas.microsoft.com/office/drawing/2014/chart" uri="{C3380CC4-5D6E-409C-BE32-E72D297353CC}">
              <c16:uniqueId val="{00000000-17C8-FC4F-8041-525263A91888}"/>
            </c:ext>
          </c:extLst>
        </c:ser>
        <c:dLbls>
          <c:showLegendKey val="0"/>
          <c:showVal val="1"/>
          <c:showCatName val="0"/>
          <c:showSerName val="0"/>
          <c:showPercent val="0"/>
          <c:showBubbleSize val="0"/>
        </c:dLbls>
        <c:gapWidth val="50"/>
        <c:axId val="242786304"/>
        <c:axId val="242787840"/>
      </c:barChart>
      <c:catAx>
        <c:axId val="242786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787840"/>
        <c:crosses val="autoZero"/>
        <c:auto val="1"/>
        <c:lblAlgn val="ctr"/>
        <c:lblOffset val="100"/>
        <c:noMultiLvlLbl val="0"/>
      </c:catAx>
      <c:valAx>
        <c:axId val="242787840"/>
        <c:scaling>
          <c:orientation val="minMax"/>
        </c:scaling>
        <c:delete val="1"/>
        <c:axPos val="b"/>
        <c:numFmt formatCode="0.00%" sourceLinked="1"/>
        <c:majorTickMark val="none"/>
        <c:minorTickMark val="none"/>
        <c:tickLblPos val="nextTo"/>
        <c:crossAx val="24278630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求职行为!$A$2:$A$11</c:f>
              <c:strCache>
                <c:ptCount val="10"/>
                <c:pt idx="0">
                  <c:v>其他</c:v>
                </c:pt>
                <c:pt idx="1">
                  <c:v>父母期望</c:v>
                </c:pt>
                <c:pt idx="2">
                  <c:v>单位培训</c:v>
                </c:pt>
                <c:pt idx="3">
                  <c:v>社会保障</c:v>
                </c:pt>
                <c:pt idx="4">
                  <c:v>单位的社会声望</c:v>
                </c:pt>
                <c:pt idx="5">
                  <c:v>工作环境</c:v>
                </c:pt>
                <c:pt idx="6">
                  <c:v>工作稳定度</c:v>
                </c:pt>
                <c:pt idx="7">
                  <c:v>就业地理位置</c:v>
                </c:pt>
                <c:pt idx="8">
                  <c:v>单位的发展空间</c:v>
                </c:pt>
                <c:pt idx="9">
                  <c:v>薪酬水平</c:v>
                </c:pt>
              </c:strCache>
            </c:strRef>
          </c:cat>
          <c:val>
            <c:numRef>
              <c:f>求职行为!$B$2:$B$11</c:f>
              <c:numCache>
                <c:formatCode>0.00%</c:formatCode>
                <c:ptCount val="10"/>
                <c:pt idx="0">
                  <c:v>3.09278350515464E-2</c:v>
                </c:pt>
                <c:pt idx="1">
                  <c:v>7.5601374570446703E-2</c:v>
                </c:pt>
                <c:pt idx="2">
                  <c:v>9.9656357388316394E-2</c:v>
                </c:pt>
                <c:pt idx="3">
                  <c:v>0.10309278350515499</c:v>
                </c:pt>
                <c:pt idx="4">
                  <c:v>0.106529209621993</c:v>
                </c:pt>
                <c:pt idx="5">
                  <c:v>0.106529209621993</c:v>
                </c:pt>
                <c:pt idx="6">
                  <c:v>0.11340206185567001</c:v>
                </c:pt>
                <c:pt idx="7">
                  <c:v>0.11683848797250899</c:v>
                </c:pt>
                <c:pt idx="8">
                  <c:v>0.120274914089347</c:v>
                </c:pt>
                <c:pt idx="9">
                  <c:v>0.12714776632302399</c:v>
                </c:pt>
              </c:numCache>
            </c:numRef>
          </c:val>
          <c:extLst>
            <c:ext xmlns:c16="http://schemas.microsoft.com/office/drawing/2014/chart" uri="{C3380CC4-5D6E-409C-BE32-E72D297353CC}">
              <c16:uniqueId val="{00000000-27E5-FC45-B2CA-A3ACFC5D489B}"/>
            </c:ext>
          </c:extLst>
        </c:ser>
        <c:dLbls>
          <c:showLegendKey val="0"/>
          <c:showVal val="1"/>
          <c:showCatName val="0"/>
          <c:showSerName val="0"/>
          <c:showPercent val="0"/>
          <c:showBubbleSize val="0"/>
        </c:dLbls>
        <c:gapWidth val="100"/>
        <c:axId val="242811648"/>
        <c:axId val="242813184"/>
      </c:barChart>
      <c:catAx>
        <c:axId val="242811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813184"/>
        <c:crosses val="autoZero"/>
        <c:auto val="1"/>
        <c:lblAlgn val="ctr"/>
        <c:lblOffset val="100"/>
        <c:noMultiLvlLbl val="0"/>
      </c:catAx>
      <c:valAx>
        <c:axId val="242813184"/>
        <c:scaling>
          <c:orientation val="minMax"/>
        </c:scaling>
        <c:delete val="1"/>
        <c:axPos val="b"/>
        <c:numFmt formatCode="0.00%" sourceLinked="1"/>
        <c:majorTickMark val="none"/>
        <c:minorTickMark val="none"/>
        <c:tickLblPos val="nextTo"/>
        <c:crossAx val="24281164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求职行为!$A$26:$A$37</c:f>
              <c:strCache>
                <c:ptCount val="12"/>
                <c:pt idx="0">
                  <c:v>其他</c:v>
                </c:pt>
                <c:pt idx="1">
                  <c:v>社会关系</c:v>
                </c:pt>
                <c:pt idx="2">
                  <c:v>参加竞赛获奖经历</c:v>
                </c:pt>
                <c:pt idx="3">
                  <c:v>职业认知</c:v>
                </c:pt>
                <c:pt idx="4">
                  <c:v>担任学生干部</c:v>
                </c:pt>
                <c:pt idx="5">
                  <c:v>职业资格证书</c:v>
                </c:pt>
                <c:pt idx="6">
                  <c:v>学业成绩</c:v>
                </c:pt>
                <c:pt idx="7">
                  <c:v>专业背景</c:v>
                </c:pt>
                <c:pt idx="8">
                  <c:v>实践/实习经验</c:v>
                </c:pt>
                <c:pt idx="9">
                  <c:v>母校声誉</c:v>
                </c:pt>
                <c:pt idx="10">
                  <c:v>个人素质</c:v>
                </c:pt>
                <c:pt idx="11">
                  <c:v>学历</c:v>
                </c:pt>
              </c:strCache>
            </c:strRef>
          </c:cat>
          <c:val>
            <c:numRef>
              <c:f>求职行为!$B$26:$B$37</c:f>
              <c:numCache>
                <c:formatCode>0.00%</c:formatCode>
                <c:ptCount val="12"/>
                <c:pt idx="0">
                  <c:v>6.5832784726793997E-3</c:v>
                </c:pt>
                <c:pt idx="1">
                  <c:v>2.2383146807109899E-2</c:v>
                </c:pt>
                <c:pt idx="2">
                  <c:v>2.3370638578011801E-2</c:v>
                </c:pt>
                <c:pt idx="3">
                  <c:v>2.5345622119815701E-2</c:v>
                </c:pt>
                <c:pt idx="4">
                  <c:v>3.4891375905200799E-2</c:v>
                </c:pt>
                <c:pt idx="5">
                  <c:v>6.7807768268597801E-2</c:v>
                </c:pt>
                <c:pt idx="6">
                  <c:v>7.53785385121791E-2</c:v>
                </c:pt>
                <c:pt idx="7">
                  <c:v>0.11026991441738</c:v>
                </c:pt>
                <c:pt idx="8">
                  <c:v>0.13429888084266001</c:v>
                </c:pt>
                <c:pt idx="9">
                  <c:v>0.139894667544437</c:v>
                </c:pt>
                <c:pt idx="10">
                  <c:v>0.16129032258064499</c:v>
                </c:pt>
                <c:pt idx="11">
                  <c:v>0.19848584595128399</c:v>
                </c:pt>
              </c:numCache>
            </c:numRef>
          </c:val>
          <c:extLst>
            <c:ext xmlns:c16="http://schemas.microsoft.com/office/drawing/2014/chart" uri="{C3380CC4-5D6E-409C-BE32-E72D297353CC}">
              <c16:uniqueId val="{00000000-AC82-1C4C-AEBE-3C7FE65DBA71}"/>
            </c:ext>
          </c:extLst>
        </c:ser>
        <c:dLbls>
          <c:showLegendKey val="0"/>
          <c:showVal val="1"/>
          <c:showCatName val="0"/>
          <c:showSerName val="0"/>
          <c:showPercent val="0"/>
          <c:showBubbleSize val="0"/>
        </c:dLbls>
        <c:gapWidth val="100"/>
        <c:axId val="242869760"/>
        <c:axId val="242871296"/>
      </c:barChart>
      <c:catAx>
        <c:axId val="2428697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871296"/>
        <c:crosses val="autoZero"/>
        <c:auto val="1"/>
        <c:lblAlgn val="ctr"/>
        <c:lblOffset val="100"/>
        <c:noMultiLvlLbl val="0"/>
      </c:catAx>
      <c:valAx>
        <c:axId val="242871296"/>
        <c:scaling>
          <c:orientation val="minMax"/>
        </c:scaling>
        <c:delete val="1"/>
        <c:axPos val="b"/>
        <c:numFmt formatCode="0.00%" sourceLinked="1"/>
        <c:majorTickMark val="none"/>
        <c:minorTickMark val="none"/>
        <c:tickLblPos val="nextTo"/>
        <c:crossAx val="24286976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求职行为!$A$50:$A$58</c:f>
              <c:strCache>
                <c:ptCount val="9"/>
                <c:pt idx="0">
                  <c:v>其他</c:v>
                </c:pt>
                <c:pt idx="1">
                  <c:v>与父母意愿相悖</c:v>
                </c:pt>
                <c:pt idx="2">
                  <c:v>就业能力不足</c:v>
                </c:pt>
                <c:pt idx="3">
                  <c:v>存在就业歧视</c:v>
                </c:pt>
                <c:pt idx="4">
                  <c:v>社会关系缺乏</c:v>
                </c:pt>
                <c:pt idx="5">
                  <c:v>获取招聘信息的渠道太少</c:v>
                </c:pt>
                <c:pt idx="6">
                  <c:v>适合自己专业和学历的岗位不多</c:v>
                </c:pt>
                <c:pt idx="7">
                  <c:v>用人单位待遇和条件不符合预期</c:v>
                </c:pt>
                <c:pt idx="8">
                  <c:v>缺乏实践经验</c:v>
                </c:pt>
              </c:strCache>
            </c:strRef>
          </c:cat>
          <c:val>
            <c:numRef>
              <c:f>求职行为!$C$50:$C$58</c:f>
              <c:numCache>
                <c:formatCode>0.00%</c:formatCode>
                <c:ptCount val="9"/>
                <c:pt idx="0">
                  <c:v>1.30718954248366E-2</c:v>
                </c:pt>
                <c:pt idx="1">
                  <c:v>6.5359477124183104E-3</c:v>
                </c:pt>
                <c:pt idx="2">
                  <c:v>0.11111111111111099</c:v>
                </c:pt>
                <c:pt idx="3">
                  <c:v>2.61437908496732E-2</c:v>
                </c:pt>
                <c:pt idx="4">
                  <c:v>0.11764705882352899</c:v>
                </c:pt>
                <c:pt idx="5">
                  <c:v>0.13071895424836599</c:v>
                </c:pt>
                <c:pt idx="6">
                  <c:v>0.18300653594771199</c:v>
                </c:pt>
                <c:pt idx="7">
                  <c:v>0.19607843137254899</c:v>
                </c:pt>
                <c:pt idx="8">
                  <c:v>0.21568627450980399</c:v>
                </c:pt>
              </c:numCache>
            </c:numRef>
          </c:val>
          <c:extLst>
            <c:ext xmlns:c16="http://schemas.microsoft.com/office/drawing/2014/chart" uri="{C3380CC4-5D6E-409C-BE32-E72D297353CC}">
              <c16:uniqueId val="{00000000-1966-1F44-8EE6-66D4143C6823}"/>
            </c:ext>
          </c:extLst>
        </c:ser>
        <c:dLbls>
          <c:showLegendKey val="0"/>
          <c:showVal val="1"/>
          <c:showCatName val="0"/>
          <c:showSerName val="0"/>
          <c:showPercent val="0"/>
          <c:showBubbleSize val="0"/>
        </c:dLbls>
        <c:gapWidth val="100"/>
        <c:axId val="242878720"/>
        <c:axId val="242896896"/>
      </c:barChart>
      <c:catAx>
        <c:axId val="2428787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2896896"/>
        <c:crosses val="autoZero"/>
        <c:auto val="1"/>
        <c:lblAlgn val="ctr"/>
        <c:lblOffset val="100"/>
        <c:noMultiLvlLbl val="0"/>
      </c:catAx>
      <c:valAx>
        <c:axId val="242896896"/>
        <c:scaling>
          <c:orientation val="minMax"/>
        </c:scaling>
        <c:delete val="1"/>
        <c:axPos val="b"/>
        <c:numFmt formatCode="0.00%" sourceLinked="1"/>
        <c:majorTickMark val="none"/>
        <c:minorTickMark val="none"/>
        <c:tickLblPos val="nextTo"/>
        <c:crossAx val="24287872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求职行为!$A$68:$A$72</c:f>
              <c:strCache>
                <c:ptCount val="5"/>
                <c:pt idx="0">
                  <c:v>母校推荐（校园招聘会、老师和校友推荐、母校就业网站等）</c:v>
                </c:pt>
                <c:pt idx="1">
                  <c:v>自己直接联系应聘（参加社会公考、直接联系单位）</c:v>
                </c:pt>
                <c:pt idx="2">
                  <c:v>社会中介推荐（人才市场、社会网站）</c:v>
                </c:pt>
                <c:pt idx="3">
                  <c:v>亲友推荐</c:v>
                </c:pt>
                <c:pt idx="4">
                  <c:v>其他</c:v>
                </c:pt>
              </c:strCache>
            </c:strRef>
          </c:cat>
          <c:val>
            <c:numRef>
              <c:f>求职行为!$B$68:$B$72</c:f>
              <c:numCache>
                <c:formatCode>0.00%</c:formatCode>
                <c:ptCount val="5"/>
                <c:pt idx="0">
                  <c:v>0.55311355311355304</c:v>
                </c:pt>
                <c:pt idx="1">
                  <c:v>0.31227106227106199</c:v>
                </c:pt>
                <c:pt idx="2">
                  <c:v>5.8608058608058497E-2</c:v>
                </c:pt>
                <c:pt idx="3">
                  <c:v>5.6776556776556797E-2</c:v>
                </c:pt>
                <c:pt idx="4">
                  <c:v>1.9230769230769201E-2</c:v>
                </c:pt>
              </c:numCache>
            </c:numRef>
          </c:val>
          <c:extLst>
            <c:ext xmlns:c16="http://schemas.microsoft.com/office/drawing/2014/chart" uri="{C3380CC4-5D6E-409C-BE32-E72D297353CC}">
              <c16:uniqueId val="{00000000-9F0B-C14D-8C74-233838BDEAB4}"/>
            </c:ext>
          </c:extLst>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56929669918427805"/>
          <c:y val="1.0069262175561399E-2"/>
          <c:w val="0.430703300815722"/>
          <c:h val="0.98993073782443897"/>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Lbls>
            <c:dLbl>
              <c:idx val="0"/>
              <c:tx>
                <c:rich>
                  <a:bodyPr/>
                  <a:lstStyle/>
                  <a:p>
                    <a:fld id="{F9E04690-D196-41E6-AD61-1FEDEA9412E6}" type="CATEGORYNAME">
                      <a:rPr lang="zh-CN" altLang="en-US"/>
                      <a:pPr/>
                      <a:t>[类别名称]</a:t>
                    </a:fld>
                    <a:r>
                      <a:t>,</a:t>
                    </a:r>
                    <a:fld id="{06E5A63A-6B62-4655-B422-8159393DBFB1}"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6F1583A7-F5CA-41BA-8F8B-9A06257BC314}" type="CATEGORYNAME">
                      <a:rPr lang="zh-CN" altLang="en-US"/>
                      <a:pPr/>
                      <a:t>[类别名称]</a:t>
                    </a:fld>
                    <a:r>
                      <a:t>,</a:t>
                    </a:r>
                    <a:fld id="{6F70CD6E-E12A-4F1F-9C78-03CF5D192719}"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2"/>
              <c:tx>
                <c:rich>
                  <a:bodyPr/>
                  <a:lstStyle/>
                  <a:p>
                    <a:fld id="{D66B31FF-5EB7-43D3-9D9C-66D924F49498}" type="CATEGORYNAME">
                      <a:rPr lang="zh-CN" altLang="en-US"/>
                      <a:pPr/>
                      <a:t>[类别名称]</a:t>
                    </a:fld>
                    <a:r>
                      <a:t>,</a:t>
                    </a:r>
                    <a:fld id="{E02008EE-0D44-408A-A58D-53ADE34CF266}"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tx>
                <c:rich>
                  <a:bodyPr/>
                  <a:lstStyle/>
                  <a:p>
                    <a:fld id="{0FFE2B06-0B30-41F6-9E5A-5FEAEC8AD166}" type="CATEGORYNAME">
                      <a:rPr lang="zh-CN" altLang="en-US"/>
                      <a:pPr/>
                      <a:t>[类别名称]</a:t>
                    </a:fld>
                    <a:r>
                      <a:t>,</a:t>
                    </a:r>
                    <a:fld id="{9FD9EFED-B652-45D5-88D2-9773D20B5BB3}"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求职行为!$A$104:$A$107</c:f>
              <c:strCache>
                <c:ptCount val="4"/>
                <c:pt idx="0">
                  <c:v>1-3家</c:v>
                </c:pt>
                <c:pt idx="1">
                  <c:v>4-6家</c:v>
                </c:pt>
                <c:pt idx="2">
                  <c:v>7-9家</c:v>
                </c:pt>
                <c:pt idx="3">
                  <c:v>10家及以上</c:v>
                </c:pt>
              </c:strCache>
            </c:strRef>
          </c:cat>
          <c:val>
            <c:numRef>
              <c:f>求职行为!$C$104:$C$107</c:f>
              <c:numCache>
                <c:formatCode>0.00%</c:formatCode>
                <c:ptCount val="4"/>
                <c:pt idx="0">
                  <c:v>0.33172613307618098</c:v>
                </c:pt>
                <c:pt idx="1">
                  <c:v>0.33269045323047303</c:v>
                </c:pt>
                <c:pt idx="2">
                  <c:v>0.16586306653809099</c:v>
                </c:pt>
                <c:pt idx="3">
                  <c:v>0.169720347155256</c:v>
                </c:pt>
              </c:numCache>
            </c:numRef>
          </c:val>
          <c:extLst>
            <c:ext xmlns:c16="http://schemas.microsoft.com/office/drawing/2014/chart" uri="{C3380CC4-5D6E-409C-BE32-E72D297353CC}">
              <c16:uniqueId val="{00000000-EEE1-C84B-9858-1CD6A5D5F4C8}"/>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求职行为!$A$83:$A$89</c:f>
              <c:strCache>
                <c:ptCount val="7"/>
                <c:pt idx="0">
                  <c:v>1000元以下</c:v>
                </c:pt>
                <c:pt idx="1">
                  <c:v>1001-2000元</c:v>
                </c:pt>
                <c:pt idx="2">
                  <c:v>2001-4000元</c:v>
                </c:pt>
                <c:pt idx="3">
                  <c:v>4001-6000元</c:v>
                </c:pt>
                <c:pt idx="4">
                  <c:v>6001-8000元</c:v>
                </c:pt>
                <c:pt idx="5">
                  <c:v>8001-10000元</c:v>
                </c:pt>
                <c:pt idx="6">
                  <c:v>10001元以上</c:v>
                </c:pt>
              </c:strCache>
            </c:strRef>
          </c:cat>
          <c:val>
            <c:numRef>
              <c:f>求职行为!$B$83:$B$89</c:f>
              <c:numCache>
                <c:formatCode>0.00%</c:formatCode>
                <c:ptCount val="7"/>
                <c:pt idx="0">
                  <c:v>0.61721611721611702</c:v>
                </c:pt>
                <c:pt idx="1">
                  <c:v>0.17490842490842501</c:v>
                </c:pt>
                <c:pt idx="2">
                  <c:v>0.10164835164835199</c:v>
                </c:pt>
                <c:pt idx="3">
                  <c:v>4.94505494505494E-2</c:v>
                </c:pt>
                <c:pt idx="4">
                  <c:v>2.3809523809523801E-2</c:v>
                </c:pt>
                <c:pt idx="5">
                  <c:v>6.41025641025641E-3</c:v>
                </c:pt>
                <c:pt idx="6">
                  <c:v>2.6556776556776601E-2</c:v>
                </c:pt>
              </c:numCache>
            </c:numRef>
          </c:val>
          <c:extLst>
            <c:ext xmlns:c16="http://schemas.microsoft.com/office/drawing/2014/chart" uri="{C3380CC4-5D6E-409C-BE32-E72D297353CC}">
              <c16:uniqueId val="{00000000-DF16-5E4C-99C3-47CF91495FC8}"/>
            </c:ext>
          </c:extLst>
        </c:ser>
        <c:dLbls>
          <c:showLegendKey val="0"/>
          <c:showVal val="1"/>
          <c:showCatName val="0"/>
          <c:showSerName val="0"/>
          <c:showPercent val="0"/>
          <c:showBubbleSize val="0"/>
        </c:dLbls>
        <c:gapWidth val="100"/>
        <c:axId val="243005696"/>
        <c:axId val="243011584"/>
      </c:barChart>
      <c:catAx>
        <c:axId val="2430056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011584"/>
        <c:crosses val="autoZero"/>
        <c:auto val="1"/>
        <c:lblAlgn val="ctr"/>
        <c:lblOffset val="100"/>
        <c:noMultiLvlLbl val="0"/>
      </c:catAx>
      <c:valAx>
        <c:axId val="243011584"/>
        <c:scaling>
          <c:orientation val="minMax"/>
        </c:scaling>
        <c:delete val="1"/>
        <c:axPos val="b"/>
        <c:numFmt formatCode="0.00%" sourceLinked="1"/>
        <c:majorTickMark val="none"/>
        <c:minorTickMark val="none"/>
        <c:tickLblPos val="nextTo"/>
        <c:crossAx val="24300569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求职行为!$A$117:$A$120</c:f>
              <c:strCache>
                <c:ptCount val="4"/>
                <c:pt idx="0">
                  <c:v>1份</c:v>
                </c:pt>
                <c:pt idx="1">
                  <c:v>2-3份</c:v>
                </c:pt>
                <c:pt idx="2">
                  <c:v>4-5份</c:v>
                </c:pt>
                <c:pt idx="3">
                  <c:v>5份以上</c:v>
                </c:pt>
              </c:strCache>
            </c:strRef>
          </c:cat>
          <c:val>
            <c:numRef>
              <c:f>求职行为!$B$117:$B$120</c:f>
              <c:numCache>
                <c:formatCode>0.00%</c:formatCode>
                <c:ptCount val="4"/>
                <c:pt idx="0">
                  <c:v>0.15567765567765601</c:v>
                </c:pt>
                <c:pt idx="1">
                  <c:v>0.51007326007326004</c:v>
                </c:pt>
                <c:pt idx="2">
                  <c:v>0.21794871794871801</c:v>
                </c:pt>
                <c:pt idx="3">
                  <c:v>0.116300366300366</c:v>
                </c:pt>
              </c:numCache>
            </c:numRef>
          </c:val>
          <c:extLst>
            <c:ext xmlns:c16="http://schemas.microsoft.com/office/drawing/2014/chart" uri="{C3380CC4-5D6E-409C-BE32-E72D297353CC}">
              <c16:uniqueId val="{00000000-C35F-9943-BEFA-5231FF1421BA}"/>
            </c:ext>
          </c:extLst>
        </c:ser>
        <c:dLbls>
          <c:showLegendKey val="0"/>
          <c:showVal val="1"/>
          <c:showCatName val="0"/>
          <c:showSerName val="0"/>
          <c:showPercent val="0"/>
          <c:showBubbleSize val="0"/>
        </c:dLbls>
        <c:gapWidth val="150"/>
        <c:overlap val="-27"/>
        <c:axId val="243018752"/>
        <c:axId val="243045120"/>
      </c:barChart>
      <c:catAx>
        <c:axId val="243018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045120"/>
        <c:crosses val="autoZero"/>
        <c:auto val="1"/>
        <c:lblAlgn val="ctr"/>
        <c:lblOffset val="100"/>
        <c:noMultiLvlLbl val="0"/>
      </c:catAx>
      <c:valAx>
        <c:axId val="243045120"/>
        <c:scaling>
          <c:orientation val="minMax"/>
        </c:scaling>
        <c:delete val="1"/>
        <c:axPos val="l"/>
        <c:numFmt formatCode="0.00%" sourceLinked="1"/>
        <c:majorTickMark val="none"/>
        <c:minorTickMark val="none"/>
        <c:tickLblPos val="nextTo"/>
        <c:crossAx val="24301875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402443163181499"/>
          <c:y val="5.0925925925925902E-2"/>
          <c:w val="0.78369682479793601"/>
          <c:h val="0.80134259259259299"/>
        </c:manualLayout>
      </c:layout>
      <c:barChart>
        <c:barDir val="bar"/>
        <c:grouping val="percentStacked"/>
        <c:varyColors val="0"/>
        <c:ser>
          <c:idx val="0"/>
          <c:order val="0"/>
          <c:tx>
            <c:strRef>
              <c:f>求职行为!$B$135</c:f>
              <c:strCache>
                <c:ptCount val="1"/>
                <c:pt idx="0">
                  <c:v>1份</c:v>
                </c:pt>
              </c:strCache>
            </c:strRef>
          </c:tx>
          <c:spPr>
            <a:solidFill>
              <a:srgbClr val="D00E2C">
                <a:alpha val="8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求职行为!$A$136:$A$140</c:f>
              <c:strCache>
                <c:ptCount val="5"/>
                <c:pt idx="0">
                  <c:v>其他</c:v>
                </c:pt>
                <c:pt idx="1">
                  <c:v>亲友推荐</c:v>
                </c:pt>
                <c:pt idx="2">
                  <c:v>社会中介推荐</c:v>
                </c:pt>
                <c:pt idx="3">
                  <c:v>自己直接联系应聘</c:v>
                </c:pt>
                <c:pt idx="4">
                  <c:v>母校推荐</c:v>
                </c:pt>
              </c:strCache>
            </c:strRef>
          </c:cat>
          <c:val>
            <c:numRef>
              <c:f>求职行为!$B$136:$B$140</c:f>
              <c:numCache>
                <c:formatCode>0.00%</c:formatCode>
                <c:ptCount val="5"/>
                <c:pt idx="0">
                  <c:v>0.292473246570989</c:v>
                </c:pt>
                <c:pt idx="1">
                  <c:v>0.64008196123257999</c:v>
                </c:pt>
                <c:pt idx="2">
                  <c:v>0.105421778768041</c:v>
                </c:pt>
                <c:pt idx="3">
                  <c:v>0.256476474285665</c:v>
                </c:pt>
                <c:pt idx="4">
                  <c:v>0.21310130069935701</c:v>
                </c:pt>
              </c:numCache>
            </c:numRef>
          </c:val>
          <c:extLst>
            <c:ext xmlns:c16="http://schemas.microsoft.com/office/drawing/2014/chart" uri="{C3380CC4-5D6E-409C-BE32-E72D297353CC}">
              <c16:uniqueId val="{00000000-3D3A-4248-B323-0B64F19B8DBE}"/>
            </c:ext>
          </c:extLst>
        </c:ser>
        <c:ser>
          <c:idx val="1"/>
          <c:order val="1"/>
          <c:tx>
            <c:strRef>
              <c:f>求职行为!$C$135</c:f>
              <c:strCache>
                <c:ptCount val="1"/>
              </c:strCache>
            </c:strRef>
          </c:tx>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求职行为!$A$136:$A$140</c:f>
              <c:strCache>
                <c:ptCount val="5"/>
                <c:pt idx="0">
                  <c:v>其他</c:v>
                </c:pt>
                <c:pt idx="1">
                  <c:v>亲友推荐</c:v>
                </c:pt>
                <c:pt idx="2">
                  <c:v>社会中介推荐</c:v>
                </c:pt>
                <c:pt idx="3">
                  <c:v>自己直接联系应聘</c:v>
                </c:pt>
                <c:pt idx="4">
                  <c:v>母校推荐</c:v>
                </c:pt>
              </c:strCache>
            </c:strRef>
          </c:cat>
          <c:val>
            <c:numRef>
              <c:f>求职行为!$C$136:$C$140</c:f>
              <c:numCache>
                <c:formatCode>General</c:formatCode>
                <c:ptCount val="5"/>
              </c:numCache>
            </c:numRef>
          </c:val>
          <c:extLst>
            <c:ext xmlns:c16="http://schemas.microsoft.com/office/drawing/2014/chart" uri="{C3380CC4-5D6E-409C-BE32-E72D297353CC}">
              <c16:uniqueId val="{00000001-3D3A-4248-B323-0B64F19B8DBE}"/>
            </c:ext>
          </c:extLst>
        </c:ser>
        <c:ser>
          <c:idx val="2"/>
          <c:order val="2"/>
          <c:tx>
            <c:strRef>
              <c:f>求职行为!$D$135</c:f>
              <c:strCache>
                <c:ptCount val="1"/>
                <c:pt idx="0">
                  <c:v>2-3份</c:v>
                </c:pt>
              </c:strCache>
            </c:strRef>
          </c:tx>
          <c:spPr>
            <a:solidFill>
              <a:srgbClr val="D00E2C">
                <a:alpha val="4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求职行为!$A$136:$A$140</c:f>
              <c:strCache>
                <c:ptCount val="5"/>
                <c:pt idx="0">
                  <c:v>其他</c:v>
                </c:pt>
                <c:pt idx="1">
                  <c:v>亲友推荐</c:v>
                </c:pt>
                <c:pt idx="2">
                  <c:v>社会中介推荐</c:v>
                </c:pt>
                <c:pt idx="3">
                  <c:v>自己直接联系应聘</c:v>
                </c:pt>
                <c:pt idx="4">
                  <c:v>母校推荐</c:v>
                </c:pt>
              </c:strCache>
            </c:strRef>
          </c:cat>
          <c:val>
            <c:numRef>
              <c:f>求职行为!$D$136:$D$140</c:f>
              <c:numCache>
                <c:formatCode>0.00%</c:formatCode>
                <c:ptCount val="5"/>
                <c:pt idx="0">
                  <c:v>0.107117670198352</c:v>
                </c:pt>
                <c:pt idx="1">
                  <c:v>0.173650801371695</c:v>
                </c:pt>
                <c:pt idx="2">
                  <c:v>0.27349097005353701</c:v>
                </c:pt>
                <c:pt idx="3">
                  <c:v>0.22133857806860499</c:v>
                </c:pt>
                <c:pt idx="4">
                  <c:v>0.28155427922411003</c:v>
                </c:pt>
              </c:numCache>
            </c:numRef>
          </c:val>
          <c:extLst>
            <c:ext xmlns:c16="http://schemas.microsoft.com/office/drawing/2014/chart" uri="{C3380CC4-5D6E-409C-BE32-E72D297353CC}">
              <c16:uniqueId val="{00000002-3D3A-4248-B323-0B64F19B8DBE}"/>
            </c:ext>
          </c:extLst>
        </c:ser>
        <c:ser>
          <c:idx val="3"/>
          <c:order val="3"/>
          <c:tx>
            <c:strRef>
              <c:f>求职行为!$E$135</c:f>
              <c:strCache>
                <c:ptCount val="1"/>
                <c:pt idx="0">
                  <c:v>4-5份</c:v>
                </c:pt>
              </c:strCache>
            </c:strRef>
          </c:tx>
          <c:spPr>
            <a:solidFill>
              <a:srgbClr val="D00E2C">
                <a:alpha val="20000"/>
              </a:srgbClr>
            </a:solidFill>
            <a:ln>
              <a:noFill/>
            </a:ln>
            <a:effectLst/>
          </c:spPr>
          <c:invertIfNegative val="0"/>
          <c:dLbls>
            <c:dLbl>
              <c:idx val="1"/>
              <c:delete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求职行为!$A$136:$A$140</c:f>
              <c:strCache>
                <c:ptCount val="5"/>
                <c:pt idx="0">
                  <c:v>其他</c:v>
                </c:pt>
                <c:pt idx="1">
                  <c:v>亲友推荐</c:v>
                </c:pt>
                <c:pt idx="2">
                  <c:v>社会中介推荐</c:v>
                </c:pt>
                <c:pt idx="3">
                  <c:v>自己直接联系应聘</c:v>
                </c:pt>
                <c:pt idx="4">
                  <c:v>母校推荐</c:v>
                </c:pt>
              </c:strCache>
            </c:strRef>
          </c:cat>
          <c:val>
            <c:numRef>
              <c:f>求职行为!$E$136:$E$140</c:f>
              <c:numCache>
                <c:formatCode>0.00%</c:formatCode>
                <c:ptCount val="5"/>
                <c:pt idx="0">
                  <c:v>0.20890946183642101</c:v>
                </c:pt>
                <c:pt idx="1">
                  <c:v>0.18626723739572401</c:v>
                </c:pt>
                <c:pt idx="2">
                  <c:v>0.33885571746870502</c:v>
                </c:pt>
                <c:pt idx="3">
                  <c:v>0.20846609978884101</c:v>
                </c:pt>
                <c:pt idx="4">
                  <c:v>0.27639078474164702</c:v>
                </c:pt>
              </c:numCache>
            </c:numRef>
          </c:val>
          <c:extLst>
            <c:ext xmlns:c16="http://schemas.microsoft.com/office/drawing/2014/chart" uri="{C3380CC4-5D6E-409C-BE32-E72D297353CC}">
              <c16:uniqueId val="{00000003-3D3A-4248-B323-0B64F19B8DBE}"/>
            </c:ext>
          </c:extLst>
        </c:ser>
        <c:dLbls>
          <c:showLegendKey val="0"/>
          <c:showVal val="1"/>
          <c:showCatName val="0"/>
          <c:showSerName val="0"/>
          <c:showPercent val="0"/>
          <c:showBubbleSize val="0"/>
        </c:dLbls>
        <c:gapWidth val="150"/>
        <c:overlap val="100"/>
        <c:axId val="243142016"/>
        <c:axId val="243160192"/>
      </c:barChart>
      <c:catAx>
        <c:axId val="24314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160192"/>
        <c:crosses val="autoZero"/>
        <c:auto val="1"/>
        <c:lblAlgn val="ctr"/>
        <c:lblOffset val="100"/>
        <c:noMultiLvlLbl val="0"/>
      </c:catAx>
      <c:valAx>
        <c:axId val="243160192"/>
        <c:scaling>
          <c:orientation val="minMax"/>
        </c:scaling>
        <c:delete val="1"/>
        <c:axPos val="b"/>
        <c:numFmt formatCode="0%" sourceLinked="1"/>
        <c:majorTickMark val="none"/>
        <c:minorTickMark val="none"/>
        <c:tickLblPos val="nextTo"/>
        <c:crossAx val="24314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求职行为!$A$159:$A$165</c:f>
              <c:strCache>
                <c:ptCount val="7"/>
                <c:pt idx="0">
                  <c:v>暂时无就业意愿</c:v>
                </c:pt>
                <c:pt idx="1">
                  <c:v>准备出国</c:v>
                </c:pt>
                <c:pt idx="2">
                  <c:v>准备创业</c:v>
                </c:pt>
                <c:pt idx="3">
                  <c:v>在等待单位签约</c:v>
                </c:pt>
                <c:pt idx="4">
                  <c:v>正在择业尚未落实就业单位</c:v>
                </c:pt>
                <c:pt idx="5">
                  <c:v>暂不就业拟继续复习考研</c:v>
                </c:pt>
                <c:pt idx="6">
                  <c:v>准备公务员、事业单位招考</c:v>
                </c:pt>
              </c:strCache>
            </c:strRef>
          </c:cat>
          <c:val>
            <c:numRef>
              <c:f>求职行为!$B$159:$B$165</c:f>
              <c:numCache>
                <c:formatCode>0.00%</c:formatCode>
                <c:ptCount val="7"/>
                <c:pt idx="0">
                  <c:v>2.1621621621621599E-2</c:v>
                </c:pt>
                <c:pt idx="1">
                  <c:v>2.7027027027027001E-2</c:v>
                </c:pt>
                <c:pt idx="2">
                  <c:v>2.7027027027027001E-2</c:v>
                </c:pt>
                <c:pt idx="3">
                  <c:v>0.135135135135135</c:v>
                </c:pt>
                <c:pt idx="4">
                  <c:v>0.22162162162162199</c:v>
                </c:pt>
                <c:pt idx="5">
                  <c:v>0.248648648648649</c:v>
                </c:pt>
                <c:pt idx="6">
                  <c:v>0.31891891891891899</c:v>
                </c:pt>
              </c:numCache>
            </c:numRef>
          </c:val>
          <c:extLst>
            <c:ext xmlns:c16="http://schemas.microsoft.com/office/drawing/2014/chart" uri="{C3380CC4-5D6E-409C-BE32-E72D297353CC}">
              <c16:uniqueId val="{00000000-7210-4D4C-A02B-E4BB4BBF1E4E}"/>
            </c:ext>
          </c:extLst>
        </c:ser>
        <c:dLbls>
          <c:showLegendKey val="0"/>
          <c:showVal val="1"/>
          <c:showCatName val="0"/>
          <c:showSerName val="0"/>
          <c:showPercent val="0"/>
          <c:showBubbleSize val="0"/>
        </c:dLbls>
        <c:gapWidth val="100"/>
        <c:axId val="243192576"/>
        <c:axId val="243194112"/>
      </c:barChart>
      <c:catAx>
        <c:axId val="243192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194112"/>
        <c:crosses val="autoZero"/>
        <c:auto val="1"/>
        <c:lblAlgn val="ctr"/>
        <c:lblOffset val="100"/>
        <c:noMultiLvlLbl val="0"/>
      </c:catAx>
      <c:valAx>
        <c:axId val="243194112"/>
        <c:scaling>
          <c:orientation val="minMax"/>
        </c:scaling>
        <c:delete val="1"/>
        <c:axPos val="b"/>
        <c:numFmt formatCode="0.00%" sourceLinked="1"/>
        <c:majorTickMark val="none"/>
        <c:minorTickMark val="none"/>
        <c:tickLblPos val="nextTo"/>
        <c:crossAx val="24319257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求职行为!$A$181:$A$187</c:f>
              <c:strCache>
                <c:ptCount val="7"/>
                <c:pt idx="0">
                  <c:v>学校</c:v>
                </c:pt>
                <c:pt idx="1">
                  <c:v>自主创业</c:v>
                </c:pt>
                <c:pt idx="2">
                  <c:v>政府机关</c:v>
                </c:pt>
                <c:pt idx="3">
                  <c:v>外资企业</c:v>
                </c:pt>
                <c:pt idx="4">
                  <c:v>社会组织</c:v>
                </c:pt>
                <c:pt idx="5">
                  <c:v>国有企业</c:v>
                </c:pt>
                <c:pt idx="6">
                  <c:v>其他事业单位</c:v>
                </c:pt>
              </c:strCache>
            </c:strRef>
          </c:cat>
          <c:val>
            <c:numRef>
              <c:f>求职行为!$B$181:$B$187</c:f>
              <c:numCache>
                <c:formatCode>0.00%</c:formatCode>
                <c:ptCount val="7"/>
                <c:pt idx="0">
                  <c:v>1.5151515151515201E-2</c:v>
                </c:pt>
                <c:pt idx="1">
                  <c:v>4.5454545454545497E-2</c:v>
                </c:pt>
                <c:pt idx="2">
                  <c:v>6.0606060606060601E-2</c:v>
                </c:pt>
                <c:pt idx="3">
                  <c:v>0.10606060606060599</c:v>
                </c:pt>
                <c:pt idx="4">
                  <c:v>0.18181818181818199</c:v>
                </c:pt>
                <c:pt idx="5">
                  <c:v>0.27272727272727298</c:v>
                </c:pt>
                <c:pt idx="6">
                  <c:v>0.31818181818181801</c:v>
                </c:pt>
              </c:numCache>
            </c:numRef>
          </c:val>
          <c:extLst>
            <c:ext xmlns:c16="http://schemas.microsoft.com/office/drawing/2014/chart" uri="{C3380CC4-5D6E-409C-BE32-E72D297353CC}">
              <c16:uniqueId val="{00000000-9B27-434E-8A9A-BFA98B481F0D}"/>
            </c:ext>
          </c:extLst>
        </c:ser>
        <c:dLbls>
          <c:showLegendKey val="0"/>
          <c:showVal val="1"/>
          <c:showCatName val="0"/>
          <c:showSerName val="0"/>
          <c:showPercent val="0"/>
          <c:showBubbleSize val="0"/>
        </c:dLbls>
        <c:gapWidth val="150"/>
        <c:overlap val="-27"/>
        <c:axId val="243283456"/>
        <c:axId val="243284992"/>
      </c:barChart>
      <c:catAx>
        <c:axId val="243283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284992"/>
        <c:crosses val="autoZero"/>
        <c:auto val="1"/>
        <c:lblAlgn val="ctr"/>
        <c:lblOffset val="100"/>
        <c:noMultiLvlLbl val="0"/>
      </c:catAx>
      <c:valAx>
        <c:axId val="243284992"/>
        <c:scaling>
          <c:orientation val="minMax"/>
        </c:scaling>
        <c:delete val="1"/>
        <c:axPos val="l"/>
        <c:numFmt formatCode="0.00%" sourceLinked="1"/>
        <c:majorTickMark val="none"/>
        <c:minorTickMark val="none"/>
        <c:tickLblPos val="nextTo"/>
        <c:crossAx val="24328345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求职行为!$A$244:$A$251</c:f>
              <c:strCache>
                <c:ptCount val="8"/>
                <c:pt idx="0">
                  <c:v>3000元以下</c:v>
                </c:pt>
                <c:pt idx="1">
                  <c:v>3001-4000元</c:v>
                </c:pt>
                <c:pt idx="2">
                  <c:v>4001-5000元</c:v>
                </c:pt>
                <c:pt idx="3">
                  <c:v>5001-6000元</c:v>
                </c:pt>
                <c:pt idx="4">
                  <c:v>6001-7000元</c:v>
                </c:pt>
                <c:pt idx="5">
                  <c:v>7001-8000元</c:v>
                </c:pt>
                <c:pt idx="6">
                  <c:v>8001-9000元</c:v>
                </c:pt>
                <c:pt idx="7">
                  <c:v>9001-10000元</c:v>
                </c:pt>
              </c:strCache>
            </c:strRef>
          </c:cat>
          <c:val>
            <c:numRef>
              <c:f>求职行为!$B$244:$B$251</c:f>
              <c:numCache>
                <c:formatCode>0.00%</c:formatCode>
                <c:ptCount val="8"/>
                <c:pt idx="0">
                  <c:v>6.6162570888468903E-3</c:v>
                </c:pt>
                <c:pt idx="1">
                  <c:v>1.7958412098298699E-2</c:v>
                </c:pt>
                <c:pt idx="2">
                  <c:v>4.4423440453686298E-2</c:v>
                </c:pt>
                <c:pt idx="3">
                  <c:v>0.13327032136105901</c:v>
                </c:pt>
                <c:pt idx="4">
                  <c:v>0.17296786389414001</c:v>
                </c:pt>
                <c:pt idx="5">
                  <c:v>0.20132325141776899</c:v>
                </c:pt>
                <c:pt idx="6">
                  <c:v>0.14744801512287301</c:v>
                </c:pt>
                <c:pt idx="7">
                  <c:v>6.7107750472589794E-2</c:v>
                </c:pt>
              </c:numCache>
            </c:numRef>
          </c:val>
          <c:extLst>
            <c:ext xmlns:c16="http://schemas.microsoft.com/office/drawing/2014/chart" uri="{C3380CC4-5D6E-409C-BE32-E72D297353CC}">
              <c16:uniqueId val="{00000000-F0C6-FA4C-ABDC-7E3498EA5630}"/>
            </c:ext>
          </c:extLst>
        </c:ser>
        <c:dLbls>
          <c:showLegendKey val="0"/>
          <c:showVal val="1"/>
          <c:showCatName val="0"/>
          <c:showSerName val="0"/>
          <c:showPercent val="0"/>
          <c:showBubbleSize val="0"/>
        </c:dLbls>
        <c:gapWidth val="100"/>
        <c:axId val="243312896"/>
        <c:axId val="243322880"/>
      </c:barChart>
      <c:catAx>
        <c:axId val="2433128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3322880"/>
        <c:crosses val="autoZero"/>
        <c:auto val="1"/>
        <c:lblAlgn val="ctr"/>
        <c:lblOffset val="100"/>
        <c:noMultiLvlLbl val="0"/>
      </c:catAx>
      <c:valAx>
        <c:axId val="243322880"/>
        <c:scaling>
          <c:orientation val="minMax"/>
        </c:scaling>
        <c:delete val="1"/>
        <c:axPos val="b"/>
        <c:numFmt formatCode="0.00%" sourceLinked="1"/>
        <c:majorTickMark val="none"/>
        <c:minorTickMark val="none"/>
        <c:tickLblPos val="nextTo"/>
        <c:crossAx val="24331289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求职行为!$A$201:$A$205</c:f>
              <c:strCache>
                <c:ptCount val="5"/>
                <c:pt idx="0">
                  <c:v>到一线城市可能机会更多</c:v>
                </c:pt>
                <c:pt idx="1">
                  <c:v>到中小城市工作比较稳定</c:v>
                </c:pt>
                <c:pt idx="2">
                  <c:v>回原籍方便与家人一起</c:v>
                </c:pt>
                <c:pt idx="3">
                  <c:v>到基层更容易干事业</c:v>
                </c:pt>
                <c:pt idx="4">
                  <c:v>其他</c:v>
                </c:pt>
              </c:strCache>
            </c:strRef>
          </c:cat>
          <c:val>
            <c:numRef>
              <c:f>求职行为!$B$201:$B$205</c:f>
              <c:numCache>
                <c:formatCode>0.00%</c:formatCode>
                <c:ptCount val="5"/>
                <c:pt idx="0">
                  <c:v>0.54545454545454497</c:v>
                </c:pt>
                <c:pt idx="1">
                  <c:v>0.19696969696969699</c:v>
                </c:pt>
                <c:pt idx="2">
                  <c:v>0.13636363636363599</c:v>
                </c:pt>
                <c:pt idx="3">
                  <c:v>7.5757575757575801E-2</c:v>
                </c:pt>
                <c:pt idx="4">
                  <c:v>4.5454545454545497E-2</c:v>
                </c:pt>
              </c:numCache>
            </c:numRef>
          </c:val>
          <c:extLst>
            <c:ext xmlns:c16="http://schemas.microsoft.com/office/drawing/2014/chart" uri="{C3380CC4-5D6E-409C-BE32-E72D297353CC}">
              <c16:uniqueId val="{00000000-82C0-814F-8BA8-B50B35FF43FC}"/>
            </c:ext>
          </c:extLst>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56929669918427805"/>
          <c:y val="1.0069262175561399E-2"/>
          <c:w val="0.430703300815722"/>
          <c:h val="0.98993073782443897"/>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求职行为!$A$221:$A$226</c:f>
              <c:strCache>
                <c:ptCount val="6"/>
                <c:pt idx="0">
                  <c:v>其他</c:v>
                </c:pt>
                <c:pt idx="1">
                  <c:v>求职补贴</c:v>
                </c:pt>
                <c:pt idx="2">
                  <c:v>政策帮扶</c:v>
                </c:pt>
                <c:pt idx="3">
                  <c:v>求职心理辅导</c:v>
                </c:pt>
                <c:pt idx="4">
                  <c:v>求职技巧培训</c:v>
                </c:pt>
                <c:pt idx="5">
                  <c:v>增加职位信息</c:v>
                </c:pt>
              </c:strCache>
            </c:strRef>
          </c:cat>
          <c:val>
            <c:numRef>
              <c:f>求职行为!$B$221:$B$226</c:f>
              <c:numCache>
                <c:formatCode>0.00%</c:formatCode>
                <c:ptCount val="6"/>
                <c:pt idx="0">
                  <c:v>8.0000000000000106E-3</c:v>
                </c:pt>
                <c:pt idx="1">
                  <c:v>0.12</c:v>
                </c:pt>
                <c:pt idx="2">
                  <c:v>0.14399999999999999</c:v>
                </c:pt>
                <c:pt idx="3">
                  <c:v>0.224</c:v>
                </c:pt>
                <c:pt idx="4">
                  <c:v>0.248</c:v>
                </c:pt>
                <c:pt idx="5">
                  <c:v>0.25600000000000001</c:v>
                </c:pt>
              </c:numCache>
            </c:numRef>
          </c:val>
          <c:extLst>
            <c:ext xmlns:c16="http://schemas.microsoft.com/office/drawing/2014/chart" uri="{C3380CC4-5D6E-409C-BE32-E72D297353CC}">
              <c16:uniqueId val="{00000000-BE2E-094D-83FE-14184CF335B4}"/>
            </c:ext>
          </c:extLst>
        </c:ser>
        <c:dLbls>
          <c:showLegendKey val="0"/>
          <c:showVal val="1"/>
          <c:showCatName val="0"/>
          <c:showSerName val="0"/>
          <c:showPercent val="0"/>
          <c:showBubbleSize val="0"/>
        </c:dLbls>
        <c:gapWidth val="150"/>
        <c:overlap val="-27"/>
        <c:axId val="263564288"/>
        <c:axId val="263566080"/>
      </c:barChart>
      <c:catAx>
        <c:axId val="263564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566080"/>
        <c:crosses val="autoZero"/>
        <c:auto val="1"/>
        <c:lblAlgn val="ctr"/>
        <c:lblOffset val="100"/>
        <c:noMultiLvlLbl val="0"/>
      </c:catAx>
      <c:valAx>
        <c:axId val="263566080"/>
        <c:scaling>
          <c:orientation val="minMax"/>
        </c:scaling>
        <c:delete val="1"/>
        <c:axPos val="l"/>
        <c:numFmt formatCode="0.00%" sourceLinked="1"/>
        <c:majorTickMark val="none"/>
        <c:minorTickMark val="none"/>
        <c:tickLblPos val="nextTo"/>
        <c:crossAx val="26356428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439284001129999"/>
          <c:y val="3.18748188930746E-2"/>
          <c:w val="0.76985709979125205"/>
          <c:h val="0.87565922920892603"/>
        </c:manualLayout>
      </c:layout>
      <c:barChart>
        <c:barDir val="bar"/>
        <c:grouping val="clustered"/>
        <c:varyColors val="0"/>
        <c:ser>
          <c:idx val="0"/>
          <c:order val="0"/>
          <c:tx>
            <c:strRef>
              <c:f>求职行为!$B$1</c:f>
              <c:strCache>
                <c:ptCount val="1"/>
                <c:pt idx="0">
                  <c:v>已就业</c:v>
                </c:pt>
              </c:strCache>
            </c:strRef>
          </c:tx>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求职行为!$A$2:$A$11</c:f>
              <c:strCache>
                <c:ptCount val="10"/>
                <c:pt idx="0">
                  <c:v>其他</c:v>
                </c:pt>
                <c:pt idx="1">
                  <c:v>父母期望</c:v>
                </c:pt>
                <c:pt idx="2">
                  <c:v>单位培训</c:v>
                </c:pt>
                <c:pt idx="3">
                  <c:v>社会保障</c:v>
                </c:pt>
                <c:pt idx="4">
                  <c:v>单位的社会声望</c:v>
                </c:pt>
                <c:pt idx="5">
                  <c:v>工作环境</c:v>
                </c:pt>
                <c:pt idx="6">
                  <c:v>工作稳定度</c:v>
                </c:pt>
                <c:pt idx="7">
                  <c:v>就业地理位置</c:v>
                </c:pt>
                <c:pt idx="8">
                  <c:v>单位的发展空间</c:v>
                </c:pt>
                <c:pt idx="9">
                  <c:v>薪酬水平</c:v>
                </c:pt>
              </c:strCache>
            </c:strRef>
          </c:cat>
          <c:val>
            <c:numRef>
              <c:f>求职行为!$B$2:$B$11</c:f>
              <c:numCache>
                <c:formatCode>0.00%</c:formatCode>
                <c:ptCount val="10"/>
                <c:pt idx="0">
                  <c:v>3.09278350515464E-2</c:v>
                </c:pt>
                <c:pt idx="1">
                  <c:v>7.5601374570446703E-2</c:v>
                </c:pt>
                <c:pt idx="2">
                  <c:v>9.9656357388316394E-2</c:v>
                </c:pt>
                <c:pt idx="3">
                  <c:v>0.10309278350515499</c:v>
                </c:pt>
                <c:pt idx="4">
                  <c:v>0.106529209621993</c:v>
                </c:pt>
                <c:pt idx="5">
                  <c:v>0.106529209621993</c:v>
                </c:pt>
                <c:pt idx="6">
                  <c:v>0.11340206185567001</c:v>
                </c:pt>
                <c:pt idx="7">
                  <c:v>0.11683848797250899</c:v>
                </c:pt>
                <c:pt idx="8">
                  <c:v>0.120274914089347</c:v>
                </c:pt>
                <c:pt idx="9">
                  <c:v>0.12714776632302399</c:v>
                </c:pt>
              </c:numCache>
            </c:numRef>
          </c:val>
          <c:extLst>
            <c:ext xmlns:c16="http://schemas.microsoft.com/office/drawing/2014/chart" uri="{C3380CC4-5D6E-409C-BE32-E72D297353CC}">
              <c16:uniqueId val="{00000000-BF64-3A48-99CA-438CE304D752}"/>
            </c:ext>
          </c:extLst>
        </c:ser>
        <c:ser>
          <c:idx val="1"/>
          <c:order val="1"/>
          <c:tx>
            <c:strRef>
              <c:f>求职行为!$C$1</c:f>
              <c:strCache>
                <c:ptCount val="1"/>
                <c:pt idx="0">
                  <c:v>未就业</c:v>
                </c:pt>
              </c:strCache>
            </c:strRef>
          </c:tx>
          <c:spPr>
            <a:solidFill>
              <a:srgbClr val="D00E2C">
                <a:alpha val="2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求职行为!$A$2:$A$11</c:f>
              <c:strCache>
                <c:ptCount val="10"/>
                <c:pt idx="0">
                  <c:v>其他</c:v>
                </c:pt>
                <c:pt idx="1">
                  <c:v>父母期望</c:v>
                </c:pt>
                <c:pt idx="2">
                  <c:v>单位培训</c:v>
                </c:pt>
                <c:pt idx="3">
                  <c:v>社会保障</c:v>
                </c:pt>
                <c:pt idx="4">
                  <c:v>单位的社会声望</c:v>
                </c:pt>
                <c:pt idx="5">
                  <c:v>工作环境</c:v>
                </c:pt>
                <c:pt idx="6">
                  <c:v>工作稳定度</c:v>
                </c:pt>
                <c:pt idx="7">
                  <c:v>就业地理位置</c:v>
                </c:pt>
                <c:pt idx="8">
                  <c:v>单位的发展空间</c:v>
                </c:pt>
                <c:pt idx="9">
                  <c:v>薪酬水平</c:v>
                </c:pt>
              </c:strCache>
            </c:strRef>
          </c:cat>
          <c:val>
            <c:numRef>
              <c:f>求职行为!$C$2:$C$11</c:f>
              <c:numCache>
                <c:formatCode>0.00%</c:formatCode>
                <c:ptCount val="10"/>
                <c:pt idx="0">
                  <c:v>1.2345679012345699E-2</c:v>
                </c:pt>
                <c:pt idx="1">
                  <c:v>6.17283950617284E-3</c:v>
                </c:pt>
                <c:pt idx="2">
                  <c:v>3.7037037037037E-2</c:v>
                </c:pt>
                <c:pt idx="3">
                  <c:v>0.141975308641975</c:v>
                </c:pt>
                <c:pt idx="4">
                  <c:v>2.4691358024691398E-2</c:v>
                </c:pt>
                <c:pt idx="5">
                  <c:v>0.104938271604938</c:v>
                </c:pt>
                <c:pt idx="6">
                  <c:v>0.12962962962963001</c:v>
                </c:pt>
                <c:pt idx="7">
                  <c:v>0.117283950617284</c:v>
                </c:pt>
                <c:pt idx="8">
                  <c:v>0.141975308641975</c:v>
                </c:pt>
                <c:pt idx="9">
                  <c:v>0.28395061728395099</c:v>
                </c:pt>
              </c:numCache>
            </c:numRef>
          </c:val>
          <c:extLst>
            <c:ext xmlns:c16="http://schemas.microsoft.com/office/drawing/2014/chart" uri="{C3380CC4-5D6E-409C-BE32-E72D297353CC}">
              <c16:uniqueId val="{00000001-BF64-3A48-99CA-438CE304D752}"/>
            </c:ext>
          </c:extLst>
        </c:ser>
        <c:dLbls>
          <c:showLegendKey val="0"/>
          <c:showVal val="1"/>
          <c:showCatName val="0"/>
          <c:showSerName val="0"/>
          <c:showPercent val="0"/>
          <c:showBubbleSize val="0"/>
        </c:dLbls>
        <c:gapWidth val="50"/>
        <c:axId val="263607424"/>
        <c:axId val="263608960"/>
      </c:barChart>
      <c:catAx>
        <c:axId val="2636074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608960"/>
        <c:crosses val="autoZero"/>
        <c:auto val="1"/>
        <c:lblAlgn val="ctr"/>
        <c:lblOffset val="100"/>
        <c:noMultiLvlLbl val="0"/>
      </c:catAx>
      <c:valAx>
        <c:axId val="263608960"/>
        <c:scaling>
          <c:orientation val="minMax"/>
        </c:scaling>
        <c:delete val="1"/>
        <c:axPos val="b"/>
        <c:numFmt formatCode="0.00%" sourceLinked="1"/>
        <c:majorTickMark val="none"/>
        <c:minorTickMark val="none"/>
        <c:tickLblPos val="nextTo"/>
        <c:crossAx val="2636074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求职行为!$B$49</c:f>
              <c:strCache>
                <c:ptCount val="1"/>
                <c:pt idx="0">
                  <c:v>已就业</c:v>
                </c:pt>
              </c:strCache>
            </c:strRef>
          </c:tx>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求职行为!$A$50:$A$58</c:f>
              <c:strCache>
                <c:ptCount val="9"/>
                <c:pt idx="0">
                  <c:v>其他</c:v>
                </c:pt>
                <c:pt idx="1">
                  <c:v>与父母意愿相悖</c:v>
                </c:pt>
                <c:pt idx="2">
                  <c:v>就业能力不足</c:v>
                </c:pt>
                <c:pt idx="3">
                  <c:v>存在就业歧视</c:v>
                </c:pt>
                <c:pt idx="4">
                  <c:v>社会关系缺乏</c:v>
                </c:pt>
                <c:pt idx="5">
                  <c:v>获取招聘信息的渠道太少</c:v>
                </c:pt>
                <c:pt idx="6">
                  <c:v>适合自己专业和学历的岗位不多</c:v>
                </c:pt>
                <c:pt idx="7">
                  <c:v>用人单位待遇和条件不符合预期</c:v>
                </c:pt>
                <c:pt idx="8">
                  <c:v>缺乏实践经验</c:v>
                </c:pt>
              </c:strCache>
            </c:strRef>
          </c:cat>
          <c:val>
            <c:numRef>
              <c:f>求职行为!$B$50:$B$58</c:f>
              <c:numCache>
                <c:formatCode>0.00%</c:formatCode>
                <c:ptCount val="9"/>
                <c:pt idx="0">
                  <c:v>1.64485981308411E-2</c:v>
                </c:pt>
                <c:pt idx="1">
                  <c:v>2.4672897196261701E-2</c:v>
                </c:pt>
                <c:pt idx="2">
                  <c:v>9.0467289719626198E-2</c:v>
                </c:pt>
                <c:pt idx="3">
                  <c:v>9.6074766355140201E-2</c:v>
                </c:pt>
                <c:pt idx="4">
                  <c:v>0.107289719626168</c:v>
                </c:pt>
                <c:pt idx="5">
                  <c:v>0.11214953271028</c:v>
                </c:pt>
                <c:pt idx="6">
                  <c:v>0.16149532710280401</c:v>
                </c:pt>
                <c:pt idx="7">
                  <c:v>0.19439252336448601</c:v>
                </c:pt>
                <c:pt idx="8">
                  <c:v>0.197009345794393</c:v>
                </c:pt>
              </c:numCache>
            </c:numRef>
          </c:val>
          <c:extLst>
            <c:ext xmlns:c16="http://schemas.microsoft.com/office/drawing/2014/chart" uri="{C3380CC4-5D6E-409C-BE32-E72D297353CC}">
              <c16:uniqueId val="{00000000-5275-154C-ACC3-A93C07834B75}"/>
            </c:ext>
          </c:extLst>
        </c:ser>
        <c:ser>
          <c:idx val="1"/>
          <c:order val="1"/>
          <c:tx>
            <c:strRef>
              <c:f>求职行为!$C$49</c:f>
              <c:strCache>
                <c:ptCount val="1"/>
                <c:pt idx="0">
                  <c:v>未就业</c:v>
                </c:pt>
              </c:strCache>
            </c:strRef>
          </c:tx>
          <c:spPr>
            <a:solidFill>
              <a:srgbClr val="D00E2C">
                <a:alpha val="2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求职行为!$A$50:$A$58</c:f>
              <c:strCache>
                <c:ptCount val="9"/>
                <c:pt idx="0">
                  <c:v>其他</c:v>
                </c:pt>
                <c:pt idx="1">
                  <c:v>与父母意愿相悖</c:v>
                </c:pt>
                <c:pt idx="2">
                  <c:v>就业能力不足</c:v>
                </c:pt>
                <c:pt idx="3">
                  <c:v>存在就业歧视</c:v>
                </c:pt>
                <c:pt idx="4">
                  <c:v>社会关系缺乏</c:v>
                </c:pt>
                <c:pt idx="5">
                  <c:v>获取招聘信息的渠道太少</c:v>
                </c:pt>
                <c:pt idx="6">
                  <c:v>适合自己专业和学历的岗位不多</c:v>
                </c:pt>
                <c:pt idx="7">
                  <c:v>用人单位待遇和条件不符合预期</c:v>
                </c:pt>
                <c:pt idx="8">
                  <c:v>缺乏实践经验</c:v>
                </c:pt>
              </c:strCache>
            </c:strRef>
          </c:cat>
          <c:val>
            <c:numRef>
              <c:f>求职行为!$C$50:$C$58</c:f>
              <c:numCache>
                <c:formatCode>0.00%</c:formatCode>
                <c:ptCount val="9"/>
                <c:pt idx="0">
                  <c:v>1.30718954248366E-2</c:v>
                </c:pt>
                <c:pt idx="1">
                  <c:v>6.5359477124183104E-3</c:v>
                </c:pt>
                <c:pt idx="2">
                  <c:v>0.11111111111111099</c:v>
                </c:pt>
                <c:pt idx="3">
                  <c:v>2.61437908496732E-2</c:v>
                </c:pt>
                <c:pt idx="4">
                  <c:v>0.11764705882352899</c:v>
                </c:pt>
                <c:pt idx="5">
                  <c:v>0.13071895424836599</c:v>
                </c:pt>
                <c:pt idx="6">
                  <c:v>0.18300653594771199</c:v>
                </c:pt>
                <c:pt idx="7">
                  <c:v>0.19607843137254899</c:v>
                </c:pt>
                <c:pt idx="8">
                  <c:v>0.21568627450980399</c:v>
                </c:pt>
              </c:numCache>
            </c:numRef>
          </c:val>
          <c:extLst>
            <c:ext xmlns:c16="http://schemas.microsoft.com/office/drawing/2014/chart" uri="{C3380CC4-5D6E-409C-BE32-E72D297353CC}">
              <c16:uniqueId val="{00000001-5275-154C-ACC3-A93C07834B75}"/>
            </c:ext>
          </c:extLst>
        </c:ser>
        <c:dLbls>
          <c:showLegendKey val="0"/>
          <c:showVal val="1"/>
          <c:showCatName val="0"/>
          <c:showSerName val="0"/>
          <c:showPercent val="0"/>
          <c:showBubbleSize val="0"/>
        </c:dLbls>
        <c:gapWidth val="50"/>
        <c:axId val="263646592"/>
        <c:axId val="263656576"/>
      </c:barChart>
      <c:catAx>
        <c:axId val="2636465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656576"/>
        <c:crosses val="autoZero"/>
        <c:auto val="1"/>
        <c:lblAlgn val="ctr"/>
        <c:lblOffset val="100"/>
        <c:noMultiLvlLbl val="0"/>
      </c:catAx>
      <c:valAx>
        <c:axId val="263656576"/>
        <c:scaling>
          <c:orientation val="minMax"/>
        </c:scaling>
        <c:delete val="1"/>
        <c:axPos val="b"/>
        <c:numFmt formatCode="0.00%" sourceLinked="1"/>
        <c:majorTickMark val="none"/>
        <c:minorTickMark val="none"/>
        <c:tickLblPos val="nextTo"/>
        <c:crossAx val="2636465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求职行为!$B$243</c:f>
              <c:strCache>
                <c:ptCount val="1"/>
                <c:pt idx="0">
                  <c:v>已就业</c:v>
                </c:pt>
              </c:strCache>
            </c:strRef>
          </c:tx>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求职行为!$A$244:$A$252</c:f>
              <c:strCache>
                <c:ptCount val="9"/>
                <c:pt idx="0">
                  <c:v>3000元以下</c:v>
                </c:pt>
                <c:pt idx="1">
                  <c:v>3001-4000元</c:v>
                </c:pt>
                <c:pt idx="2">
                  <c:v>4001-5000元</c:v>
                </c:pt>
                <c:pt idx="3">
                  <c:v>5001-6000元</c:v>
                </c:pt>
                <c:pt idx="4">
                  <c:v>6001-7000元</c:v>
                </c:pt>
                <c:pt idx="5">
                  <c:v>7001-8000元</c:v>
                </c:pt>
                <c:pt idx="6">
                  <c:v>8001-9000元</c:v>
                </c:pt>
                <c:pt idx="7">
                  <c:v>9001-10000元</c:v>
                </c:pt>
                <c:pt idx="8">
                  <c:v>10001元以上</c:v>
                </c:pt>
              </c:strCache>
            </c:strRef>
          </c:cat>
          <c:val>
            <c:numRef>
              <c:f>求职行为!$B$244:$B$252</c:f>
              <c:numCache>
                <c:formatCode>0.00%</c:formatCode>
                <c:ptCount val="9"/>
                <c:pt idx="0">
                  <c:v>6.6162570888468903E-3</c:v>
                </c:pt>
                <c:pt idx="1">
                  <c:v>1.7958412098298699E-2</c:v>
                </c:pt>
                <c:pt idx="2">
                  <c:v>4.4423440453686298E-2</c:v>
                </c:pt>
                <c:pt idx="3">
                  <c:v>0.13327032136105901</c:v>
                </c:pt>
                <c:pt idx="4">
                  <c:v>0.17296786389414001</c:v>
                </c:pt>
                <c:pt idx="5">
                  <c:v>0.20132325141776899</c:v>
                </c:pt>
                <c:pt idx="6">
                  <c:v>0.14744801512287301</c:v>
                </c:pt>
                <c:pt idx="7">
                  <c:v>6.7107750472589794E-2</c:v>
                </c:pt>
                <c:pt idx="8">
                  <c:v>0.20888468809073699</c:v>
                </c:pt>
              </c:numCache>
            </c:numRef>
          </c:val>
          <c:extLst>
            <c:ext xmlns:c16="http://schemas.microsoft.com/office/drawing/2014/chart" uri="{C3380CC4-5D6E-409C-BE32-E72D297353CC}">
              <c16:uniqueId val="{00000000-1589-0346-9B34-D2C2CE10D61C}"/>
            </c:ext>
          </c:extLst>
        </c:ser>
        <c:ser>
          <c:idx val="1"/>
          <c:order val="1"/>
          <c:tx>
            <c:strRef>
              <c:f>求职行为!$C$243</c:f>
              <c:strCache>
                <c:ptCount val="1"/>
                <c:pt idx="0">
                  <c:v>未就业</c:v>
                </c:pt>
              </c:strCache>
            </c:strRef>
          </c:tx>
          <c:spPr>
            <a:solidFill>
              <a:srgbClr val="D00E2C">
                <a:alpha val="2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求职行为!$A$244:$A$252</c:f>
              <c:strCache>
                <c:ptCount val="9"/>
                <c:pt idx="0">
                  <c:v>3000元以下</c:v>
                </c:pt>
                <c:pt idx="1">
                  <c:v>3001-4000元</c:v>
                </c:pt>
                <c:pt idx="2">
                  <c:v>4001-5000元</c:v>
                </c:pt>
                <c:pt idx="3">
                  <c:v>5001-6000元</c:v>
                </c:pt>
                <c:pt idx="4">
                  <c:v>6001-7000元</c:v>
                </c:pt>
                <c:pt idx="5">
                  <c:v>7001-8000元</c:v>
                </c:pt>
                <c:pt idx="6">
                  <c:v>8001-9000元</c:v>
                </c:pt>
                <c:pt idx="7">
                  <c:v>9001-10000元</c:v>
                </c:pt>
                <c:pt idx="8">
                  <c:v>10001元以上</c:v>
                </c:pt>
              </c:strCache>
            </c:strRef>
          </c:cat>
          <c:val>
            <c:numRef>
              <c:f>求职行为!$C$244:$C$252</c:f>
              <c:numCache>
                <c:formatCode>0.00%</c:formatCode>
                <c:ptCount val="9"/>
                <c:pt idx="0">
                  <c:v>0</c:v>
                </c:pt>
                <c:pt idx="1">
                  <c:v>1.5151515151515201E-2</c:v>
                </c:pt>
                <c:pt idx="2">
                  <c:v>0.22727272727272699</c:v>
                </c:pt>
                <c:pt idx="3">
                  <c:v>0.22727272727272699</c:v>
                </c:pt>
                <c:pt idx="4">
                  <c:v>0.22727272727272699</c:v>
                </c:pt>
                <c:pt idx="5">
                  <c:v>7.5757575757575801E-2</c:v>
                </c:pt>
                <c:pt idx="6">
                  <c:v>9.0909090909090995E-2</c:v>
                </c:pt>
                <c:pt idx="7">
                  <c:v>7.5757575757575801E-2</c:v>
                </c:pt>
                <c:pt idx="8">
                  <c:v>6.0606060606060601E-2</c:v>
                </c:pt>
              </c:numCache>
            </c:numRef>
          </c:val>
          <c:extLst>
            <c:ext xmlns:c16="http://schemas.microsoft.com/office/drawing/2014/chart" uri="{C3380CC4-5D6E-409C-BE32-E72D297353CC}">
              <c16:uniqueId val="{00000001-1589-0346-9B34-D2C2CE10D61C}"/>
            </c:ext>
          </c:extLst>
        </c:ser>
        <c:dLbls>
          <c:showLegendKey val="0"/>
          <c:showVal val="1"/>
          <c:showCatName val="0"/>
          <c:showSerName val="0"/>
          <c:showPercent val="0"/>
          <c:showBubbleSize val="0"/>
        </c:dLbls>
        <c:gapWidth val="50"/>
        <c:axId val="263694208"/>
        <c:axId val="263695744"/>
      </c:barChart>
      <c:catAx>
        <c:axId val="2636942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695744"/>
        <c:crosses val="autoZero"/>
        <c:auto val="1"/>
        <c:lblAlgn val="ctr"/>
        <c:lblOffset val="100"/>
        <c:noMultiLvlLbl val="0"/>
      </c:catAx>
      <c:valAx>
        <c:axId val="263695744"/>
        <c:scaling>
          <c:orientation val="minMax"/>
        </c:scaling>
        <c:delete val="1"/>
        <c:axPos val="b"/>
        <c:numFmt formatCode="0.00%" sourceLinked="1"/>
        <c:majorTickMark val="none"/>
        <c:minorTickMark val="none"/>
        <c:tickLblPos val="nextTo"/>
        <c:crossAx val="2636942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升学出国!$A$2:$A$7</c:f>
              <c:strCache>
                <c:ptCount val="6"/>
                <c:pt idx="0">
                  <c:v>其他</c:v>
                </c:pt>
                <c:pt idx="1">
                  <c:v>延缓面对择业的困难</c:v>
                </c:pt>
                <c:pt idx="2">
                  <c:v>对专业感兴趣，深入学习</c:v>
                </c:pt>
                <c:pt idx="3">
                  <c:v>增加择业资本，提升就业竞争力</c:v>
                </c:pt>
                <c:pt idx="4">
                  <c:v>提升学历层次</c:v>
                </c:pt>
                <c:pt idx="5">
                  <c:v>提升综合能力</c:v>
                </c:pt>
              </c:strCache>
            </c:strRef>
          </c:cat>
          <c:val>
            <c:numRef>
              <c:f>升学出国!$C$2:$C$7</c:f>
              <c:numCache>
                <c:formatCode>0.00%</c:formatCode>
                <c:ptCount val="6"/>
                <c:pt idx="0">
                  <c:v>7.9787234042553307E-3</c:v>
                </c:pt>
                <c:pt idx="1">
                  <c:v>1.7287234042553199E-2</c:v>
                </c:pt>
                <c:pt idx="2">
                  <c:v>0.11436170212766</c:v>
                </c:pt>
                <c:pt idx="3">
                  <c:v>0.13962765957446799</c:v>
                </c:pt>
                <c:pt idx="4">
                  <c:v>0.36037234042553201</c:v>
                </c:pt>
                <c:pt idx="5">
                  <c:v>0.36037234042553201</c:v>
                </c:pt>
              </c:numCache>
            </c:numRef>
          </c:val>
          <c:extLst>
            <c:ext xmlns:c16="http://schemas.microsoft.com/office/drawing/2014/chart" uri="{C3380CC4-5D6E-409C-BE32-E72D297353CC}">
              <c16:uniqueId val="{00000000-BB9A-8B42-9D75-A927F52AD556}"/>
            </c:ext>
          </c:extLst>
        </c:ser>
        <c:dLbls>
          <c:showLegendKey val="0"/>
          <c:showVal val="1"/>
          <c:showCatName val="0"/>
          <c:showSerName val="0"/>
          <c:showPercent val="0"/>
          <c:showBubbleSize val="0"/>
        </c:dLbls>
        <c:gapWidth val="100"/>
        <c:axId val="263732224"/>
        <c:axId val="263770880"/>
      </c:barChart>
      <c:catAx>
        <c:axId val="2637322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770880"/>
        <c:crosses val="autoZero"/>
        <c:auto val="1"/>
        <c:lblAlgn val="ctr"/>
        <c:lblOffset val="100"/>
        <c:noMultiLvlLbl val="0"/>
      </c:catAx>
      <c:valAx>
        <c:axId val="263770880"/>
        <c:scaling>
          <c:orientation val="minMax"/>
        </c:scaling>
        <c:delete val="1"/>
        <c:axPos val="b"/>
        <c:numFmt formatCode="0.00%" sourceLinked="1"/>
        <c:majorTickMark val="none"/>
        <c:minorTickMark val="none"/>
        <c:tickLblPos val="nextTo"/>
        <c:crossAx val="26373222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升学出国!$A$22:$A$29</c:f>
              <c:strCache>
                <c:ptCount val="8"/>
                <c:pt idx="0">
                  <c:v>家人安排</c:v>
                </c:pt>
                <c:pt idx="1">
                  <c:v>熟悉环境，为移民准备</c:v>
                </c:pt>
                <c:pt idx="2">
                  <c:v>其他</c:v>
                </c:pt>
                <c:pt idx="3">
                  <c:v>获得国外发展的机会</c:v>
                </c:pt>
                <c:pt idx="4">
                  <c:v>教学、科研水平先进</c:v>
                </c:pt>
                <c:pt idx="5">
                  <c:v>教育条件及教育方式好</c:v>
                </c:pt>
                <c:pt idx="6">
                  <c:v>增长见识，了解他国习俗与文化</c:v>
                </c:pt>
                <c:pt idx="7">
                  <c:v>提升综合竞争力</c:v>
                </c:pt>
              </c:strCache>
            </c:strRef>
          </c:cat>
          <c:val>
            <c:numRef>
              <c:f>升学出国!$C$22:$C$29</c:f>
              <c:numCache>
                <c:formatCode>0.00%</c:formatCode>
                <c:ptCount val="8"/>
                <c:pt idx="0">
                  <c:v>1.8315018315018299E-2</c:v>
                </c:pt>
                <c:pt idx="1">
                  <c:v>2.1978021978022001E-2</c:v>
                </c:pt>
                <c:pt idx="2">
                  <c:v>2.9304029304029301E-2</c:v>
                </c:pt>
                <c:pt idx="3">
                  <c:v>8.4249084249084297E-2</c:v>
                </c:pt>
                <c:pt idx="4">
                  <c:v>0.139194139194139</c:v>
                </c:pt>
                <c:pt idx="5">
                  <c:v>0.14285714285714299</c:v>
                </c:pt>
                <c:pt idx="6">
                  <c:v>0.19780219780219799</c:v>
                </c:pt>
                <c:pt idx="7">
                  <c:v>0.366300366300366</c:v>
                </c:pt>
              </c:numCache>
            </c:numRef>
          </c:val>
          <c:extLst>
            <c:ext xmlns:c16="http://schemas.microsoft.com/office/drawing/2014/chart" uri="{C3380CC4-5D6E-409C-BE32-E72D297353CC}">
              <c16:uniqueId val="{00000000-78D2-4141-B3F3-59B9AD94B888}"/>
            </c:ext>
          </c:extLst>
        </c:ser>
        <c:dLbls>
          <c:showLegendKey val="0"/>
          <c:showVal val="1"/>
          <c:showCatName val="0"/>
          <c:showSerName val="0"/>
          <c:showPercent val="0"/>
          <c:showBubbleSize val="0"/>
        </c:dLbls>
        <c:gapWidth val="100"/>
        <c:axId val="263802880"/>
        <c:axId val="263804416"/>
      </c:barChart>
      <c:catAx>
        <c:axId val="26380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804416"/>
        <c:crosses val="autoZero"/>
        <c:auto val="1"/>
        <c:lblAlgn val="ctr"/>
        <c:lblOffset val="100"/>
        <c:noMultiLvlLbl val="0"/>
      </c:catAx>
      <c:valAx>
        <c:axId val="263804416"/>
        <c:scaling>
          <c:orientation val="minMax"/>
        </c:scaling>
        <c:delete val="1"/>
        <c:axPos val="b"/>
        <c:numFmt formatCode="0.00%" sourceLinked="1"/>
        <c:majorTickMark val="none"/>
        <c:minorTickMark val="none"/>
        <c:tickLblPos val="nextTo"/>
        <c:crossAx val="26380288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升学出国!$A$83:$A$93</c:f>
              <c:strCache>
                <c:ptCount val="11"/>
                <c:pt idx="0">
                  <c:v>原专业学习太难</c:v>
                </c:pt>
                <c:pt idx="1">
                  <c:v>原专业声誉不好</c:v>
                </c:pt>
                <c:pt idx="2">
                  <c:v>学费因素</c:v>
                </c:pt>
                <c:pt idx="3">
                  <c:v>一时冲动</c:v>
                </c:pt>
                <c:pt idx="4">
                  <c:v>原专业课程太难</c:v>
                </c:pt>
                <c:pt idx="5">
                  <c:v>受到家庭的影响</c:v>
                </c:pt>
                <c:pt idx="6">
                  <c:v>他人推荐（老师、朋友等）</c:v>
                </c:pt>
                <c:pt idx="7">
                  <c:v>其他</c:v>
                </c:pt>
                <c:pt idx="8">
                  <c:v>原专业就业前景不好</c:v>
                </c:pt>
                <c:pt idx="9">
                  <c:v>原专业不符合自己的职业期待</c:v>
                </c:pt>
                <c:pt idx="10">
                  <c:v>原专业不符合自己的兴趣</c:v>
                </c:pt>
              </c:strCache>
            </c:strRef>
          </c:cat>
          <c:val>
            <c:numRef>
              <c:f>升学出国!$B$83:$B$93</c:f>
              <c:numCache>
                <c:formatCode>0.00%</c:formatCode>
                <c:ptCount val="11"/>
                <c:pt idx="0">
                  <c:v>1.48148148148148E-2</c:v>
                </c:pt>
                <c:pt idx="1">
                  <c:v>2.2222222222222199E-2</c:v>
                </c:pt>
                <c:pt idx="2">
                  <c:v>2.96296296296296E-2</c:v>
                </c:pt>
                <c:pt idx="3">
                  <c:v>3.7037037037037E-2</c:v>
                </c:pt>
                <c:pt idx="4">
                  <c:v>4.4444444444444398E-2</c:v>
                </c:pt>
                <c:pt idx="5">
                  <c:v>7.4074074074074098E-2</c:v>
                </c:pt>
                <c:pt idx="6">
                  <c:v>9.6296296296296394E-2</c:v>
                </c:pt>
                <c:pt idx="7">
                  <c:v>0.140740740740741</c:v>
                </c:pt>
                <c:pt idx="8">
                  <c:v>0.148148148148148</c:v>
                </c:pt>
                <c:pt idx="9">
                  <c:v>0.19259259259259301</c:v>
                </c:pt>
                <c:pt idx="10">
                  <c:v>0.2</c:v>
                </c:pt>
              </c:numCache>
            </c:numRef>
          </c:val>
          <c:extLst>
            <c:ext xmlns:c16="http://schemas.microsoft.com/office/drawing/2014/chart" uri="{C3380CC4-5D6E-409C-BE32-E72D297353CC}">
              <c16:uniqueId val="{00000000-52F5-2C48-9CB6-38DCEAD4412B}"/>
            </c:ext>
          </c:extLst>
        </c:ser>
        <c:dLbls>
          <c:showLegendKey val="0"/>
          <c:showVal val="1"/>
          <c:showCatName val="0"/>
          <c:showSerName val="0"/>
          <c:showPercent val="0"/>
          <c:showBubbleSize val="0"/>
        </c:dLbls>
        <c:gapWidth val="100"/>
        <c:axId val="263824512"/>
        <c:axId val="263826048"/>
      </c:barChart>
      <c:catAx>
        <c:axId val="2638245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826048"/>
        <c:crosses val="autoZero"/>
        <c:auto val="1"/>
        <c:lblAlgn val="ctr"/>
        <c:lblOffset val="100"/>
        <c:noMultiLvlLbl val="0"/>
      </c:catAx>
      <c:valAx>
        <c:axId val="263826048"/>
        <c:scaling>
          <c:orientation val="minMax"/>
        </c:scaling>
        <c:delete val="1"/>
        <c:axPos val="b"/>
        <c:numFmt formatCode="0.00%" sourceLinked="1"/>
        <c:majorTickMark val="none"/>
        <c:minorTickMark val="none"/>
        <c:tickLblPos val="nextTo"/>
        <c:crossAx val="26382451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自主创业!$A$2:$A$7</c:f>
              <c:strCache>
                <c:ptCount val="6"/>
                <c:pt idx="0">
                  <c:v>未来收入</c:v>
                </c:pt>
                <c:pt idx="1">
                  <c:v>其他</c:v>
                </c:pt>
                <c:pt idx="2">
                  <c:v>未找到合适的工作</c:v>
                </c:pt>
                <c:pt idx="3">
                  <c:v>受他人邀请创业</c:v>
                </c:pt>
                <c:pt idx="4">
                  <c:v>有好的创业项目</c:v>
                </c:pt>
                <c:pt idx="5">
                  <c:v>实现个人理想及价值</c:v>
                </c:pt>
              </c:strCache>
            </c:strRef>
          </c:cat>
          <c:val>
            <c:numRef>
              <c:f>自主创业!$C$2:$C$7</c:f>
              <c:numCache>
                <c:formatCode>0.00%</c:formatCode>
                <c:ptCount val="6"/>
                <c:pt idx="0">
                  <c:v>2.3809523809523801E-2</c:v>
                </c:pt>
                <c:pt idx="1">
                  <c:v>4.7619047619047603E-2</c:v>
                </c:pt>
                <c:pt idx="2">
                  <c:v>0.119047619047619</c:v>
                </c:pt>
                <c:pt idx="3">
                  <c:v>0.14285714285714299</c:v>
                </c:pt>
                <c:pt idx="4">
                  <c:v>0.30952380952380998</c:v>
                </c:pt>
                <c:pt idx="5">
                  <c:v>0.35714285714285698</c:v>
                </c:pt>
              </c:numCache>
            </c:numRef>
          </c:val>
          <c:extLst>
            <c:ext xmlns:c16="http://schemas.microsoft.com/office/drawing/2014/chart" uri="{C3380CC4-5D6E-409C-BE32-E72D297353CC}">
              <c16:uniqueId val="{00000000-CB83-4D43-81B4-1B023FF5A6F5}"/>
            </c:ext>
          </c:extLst>
        </c:ser>
        <c:dLbls>
          <c:showLegendKey val="0"/>
          <c:showVal val="1"/>
          <c:showCatName val="0"/>
          <c:showSerName val="0"/>
          <c:showPercent val="0"/>
          <c:showBubbleSize val="0"/>
        </c:dLbls>
        <c:gapWidth val="100"/>
        <c:axId val="263845760"/>
        <c:axId val="263847296"/>
      </c:barChart>
      <c:catAx>
        <c:axId val="2638457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847296"/>
        <c:crosses val="autoZero"/>
        <c:auto val="1"/>
        <c:lblAlgn val="ctr"/>
        <c:lblOffset val="100"/>
        <c:noMultiLvlLbl val="0"/>
      </c:catAx>
      <c:valAx>
        <c:axId val="263847296"/>
        <c:scaling>
          <c:orientation val="minMax"/>
        </c:scaling>
        <c:delete val="1"/>
        <c:axPos val="b"/>
        <c:numFmt formatCode="0.00%" sourceLinked="1"/>
        <c:majorTickMark val="none"/>
        <c:minorTickMark val="none"/>
        <c:tickLblPos val="nextTo"/>
        <c:crossAx val="26384576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Lbls>
            <c:dLbl>
              <c:idx val="0"/>
              <c:tx>
                <c:rich>
                  <a:bodyPr/>
                  <a:lstStyle/>
                  <a:p>
                    <a:fld id="{5DB30B3A-0CC2-4E8D-9FA1-94F7FB5A83B4}" type="CATEGORYNAME">
                      <a:rPr lang="zh-CN" altLang="en-US"/>
                      <a:pPr/>
                      <a:t>[类别名称]</a:t>
                    </a:fld>
                    <a:r>
                      <a:t>,</a:t>
                    </a:r>
                    <a:fld id="{6E7C85B0-D51C-456E-B43F-6CD7F2FF0460}"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5E80DDB4-A933-493F-8485-05F9FA0FCAAA}" type="CATEGORYNAME">
                      <a:rPr lang="zh-CN" altLang="en-US"/>
                      <a:pPr/>
                      <a:t>[类别名称]</a:t>
                    </a:fld>
                    <a:r>
                      <a:t>,</a:t>
                    </a:r>
                    <a:fld id="{3201A49B-7FDA-4CE4-B9B0-50A349478918}"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2"/>
              <c:tx>
                <c:rich>
                  <a:bodyPr/>
                  <a:lstStyle/>
                  <a:p>
                    <a:fld id="{7F1F4817-6F9E-49B3-AE48-BDC2381B4A78}" type="CATEGORYNAME">
                      <a:rPr lang="zh-CN" altLang="en-US"/>
                      <a:pPr/>
                      <a:t>[类别名称]</a:t>
                    </a:fld>
                    <a:r>
                      <a:t>,</a:t>
                    </a:r>
                    <a:fld id="{34CD2AE6-36CF-446A-96AC-1F67AFCF8683}"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tx>
                <c:rich>
                  <a:bodyPr/>
                  <a:lstStyle/>
                  <a:p>
                    <a:fld id="{218622BF-0594-4808-B24B-1070B5C4E3BB}" type="CATEGORYNAME">
                      <a:rPr lang="zh-CN" altLang="en-US"/>
                      <a:pPr/>
                      <a:t>[类别名称]</a:t>
                    </a:fld>
                    <a:r>
                      <a:t>,</a:t>
                    </a:r>
                    <a:fld id="{F08C5A53-C1EE-4DCD-B1CC-F6FBE346AAB4}"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自主创业!$A$27:$A$30</c:f>
              <c:strCache>
                <c:ptCount val="4"/>
                <c:pt idx="0">
                  <c:v>带领团队创业</c:v>
                </c:pt>
                <c:pt idx="1">
                  <c:v>与人合伙创业</c:v>
                </c:pt>
                <c:pt idx="2">
                  <c:v>个人创业</c:v>
                </c:pt>
                <c:pt idx="3">
                  <c:v>其他</c:v>
                </c:pt>
              </c:strCache>
            </c:strRef>
          </c:cat>
          <c:val>
            <c:numRef>
              <c:f>自主创业!$C$27:$C$30</c:f>
              <c:numCache>
                <c:formatCode>0.00%</c:formatCode>
                <c:ptCount val="4"/>
                <c:pt idx="0">
                  <c:v>0.38095238095238099</c:v>
                </c:pt>
                <c:pt idx="1">
                  <c:v>0.33333333333333298</c:v>
                </c:pt>
                <c:pt idx="2">
                  <c:v>0.214285714285714</c:v>
                </c:pt>
                <c:pt idx="3">
                  <c:v>7.1428571428571397E-2</c:v>
                </c:pt>
              </c:numCache>
            </c:numRef>
          </c:val>
          <c:extLst>
            <c:ext xmlns:c16="http://schemas.microsoft.com/office/drawing/2014/chart" uri="{C3380CC4-5D6E-409C-BE32-E72D297353CC}">
              <c16:uniqueId val="{00000000-4C1A-D54B-967A-A94CF9DA92A0}"/>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Lbls>
            <c:dLbl>
              <c:idx val="0"/>
              <c:tx>
                <c:rich>
                  <a:bodyPr/>
                  <a:lstStyle/>
                  <a:p>
                    <a:fld id="{6D28A4C2-D3BC-4F8B-BC14-B3FB283F8C03}" type="CATEGORYNAME">
                      <a:rPr lang="zh-CN" altLang="en-US"/>
                      <a:pPr/>
                      <a:t>[类别名称]</a:t>
                    </a:fld>
                    <a:r>
                      <a:t>,</a:t>
                    </a:r>
                    <a:fld id="{0EB7ACC8-4399-4258-A4FB-5D7C06E86F4D}"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4E97DA1A-A733-40DB-9B01-A015E3DE89B2}" type="CATEGORYNAME">
                      <a:rPr lang="zh-CN" altLang="en-US"/>
                      <a:pPr/>
                      <a:t>[类别名称]</a:t>
                    </a:fld>
                    <a:r>
                      <a:t>,</a:t>
                    </a:r>
                    <a:fld id="{C220DC23-720C-4174-B3DF-1C541B1BA1C6}"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2"/>
              <c:tx>
                <c:rich>
                  <a:bodyPr/>
                  <a:lstStyle/>
                  <a:p>
                    <a:fld id="{9B1FD12C-E70D-40C3-8078-0FA4BBE1A664}" type="CATEGORYNAME">
                      <a:rPr lang="zh-CN" altLang="en-US"/>
                      <a:pPr/>
                      <a:t>[类别名称]</a:t>
                    </a:fld>
                    <a:r>
                      <a:t>,</a:t>
                    </a:r>
                    <a:fld id="{93AF13A5-AA5F-4D35-A849-4C961AD8B1E4}"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tx>
                <c:rich>
                  <a:bodyPr/>
                  <a:lstStyle/>
                  <a:p>
                    <a:fld id="{60C033A9-90F3-4D82-B7F1-E889CEF1AD35}" type="CATEGORYNAME">
                      <a:rPr lang="zh-CN" altLang="en-US"/>
                      <a:pPr/>
                      <a:t>[类别名称]</a:t>
                    </a:fld>
                    <a:r>
                      <a:t>,</a:t>
                    </a:r>
                    <a:fld id="{CB74D3E2-25FA-46ED-A3CF-CFC3DFC60717}"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自主创业!$A$42:$A$45</c:f>
              <c:strCache>
                <c:ptCount val="4"/>
                <c:pt idx="0">
                  <c:v>从事企业创业</c:v>
                </c:pt>
                <c:pt idx="1">
                  <c:v>从事非企业创业</c:v>
                </c:pt>
                <c:pt idx="2">
                  <c:v>从事网络创业</c:v>
                </c:pt>
                <c:pt idx="3">
                  <c:v>在创业载体创业</c:v>
                </c:pt>
              </c:strCache>
            </c:strRef>
          </c:cat>
          <c:val>
            <c:numRef>
              <c:f>自主创业!$C$42:$C$45</c:f>
              <c:numCache>
                <c:formatCode>0.00%</c:formatCode>
                <c:ptCount val="4"/>
                <c:pt idx="0">
                  <c:v>0.38095238095238099</c:v>
                </c:pt>
                <c:pt idx="1">
                  <c:v>0.30952380952380998</c:v>
                </c:pt>
                <c:pt idx="2">
                  <c:v>0.26190476190476197</c:v>
                </c:pt>
                <c:pt idx="3">
                  <c:v>4.7619047619047603E-2</c:v>
                </c:pt>
              </c:numCache>
            </c:numRef>
          </c:val>
          <c:extLst>
            <c:ext xmlns:c16="http://schemas.microsoft.com/office/drawing/2014/chart" uri="{C3380CC4-5D6E-409C-BE32-E72D297353CC}">
              <c16:uniqueId val="{00000000-A9D5-034D-B241-E5A26955CDF7}"/>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自主创业!$A$64:$A$72</c:f>
              <c:strCache>
                <c:ptCount val="9"/>
                <c:pt idx="0">
                  <c:v>政策环境不利</c:v>
                </c:pt>
                <c:pt idx="1">
                  <c:v>其他</c:v>
                </c:pt>
                <c:pt idx="2">
                  <c:v>创业项目的选取</c:v>
                </c:pt>
                <c:pt idx="3">
                  <c:v>办公场所等软硬件环境的准备</c:v>
                </c:pt>
                <c:pt idx="4">
                  <c:v>产品服务的营销推广</c:v>
                </c:pt>
                <c:pt idx="5">
                  <c:v>企业创办手续审批</c:v>
                </c:pt>
                <c:pt idx="6">
                  <c:v>社会关系缺乏</c:v>
                </c:pt>
                <c:pt idx="7">
                  <c:v>创业团队组建</c:v>
                </c:pt>
                <c:pt idx="8">
                  <c:v>资金的筹措</c:v>
                </c:pt>
              </c:strCache>
            </c:strRef>
          </c:cat>
          <c:val>
            <c:numRef>
              <c:f>自主创业!$B$64:$B$72</c:f>
              <c:numCache>
                <c:formatCode>0.00%</c:formatCode>
                <c:ptCount val="9"/>
                <c:pt idx="0">
                  <c:v>2.5641025641025599E-2</c:v>
                </c:pt>
                <c:pt idx="1">
                  <c:v>3.8461538461538498E-2</c:v>
                </c:pt>
                <c:pt idx="2">
                  <c:v>6.4102564102564097E-2</c:v>
                </c:pt>
                <c:pt idx="3">
                  <c:v>8.9743589743589702E-2</c:v>
                </c:pt>
                <c:pt idx="4">
                  <c:v>8.9743589743589702E-2</c:v>
                </c:pt>
                <c:pt idx="5">
                  <c:v>0.16666666666666699</c:v>
                </c:pt>
                <c:pt idx="6">
                  <c:v>0.16666666666666699</c:v>
                </c:pt>
                <c:pt idx="7">
                  <c:v>0.17948717948717899</c:v>
                </c:pt>
                <c:pt idx="8">
                  <c:v>0.17948717948717899</c:v>
                </c:pt>
              </c:numCache>
            </c:numRef>
          </c:val>
          <c:extLst>
            <c:ext xmlns:c16="http://schemas.microsoft.com/office/drawing/2014/chart" uri="{C3380CC4-5D6E-409C-BE32-E72D297353CC}">
              <c16:uniqueId val="{00000000-40EC-F249-98DD-C3B25C145C62}"/>
            </c:ext>
          </c:extLst>
        </c:ser>
        <c:dLbls>
          <c:showLegendKey val="0"/>
          <c:showVal val="1"/>
          <c:showCatName val="0"/>
          <c:showSerName val="0"/>
          <c:showPercent val="0"/>
          <c:showBubbleSize val="0"/>
        </c:dLbls>
        <c:gapWidth val="100"/>
        <c:axId val="263967872"/>
        <c:axId val="263969408"/>
      </c:barChart>
      <c:catAx>
        <c:axId val="26396787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3969408"/>
        <c:crosses val="autoZero"/>
        <c:auto val="1"/>
        <c:lblAlgn val="ctr"/>
        <c:lblOffset val="100"/>
        <c:noMultiLvlLbl val="0"/>
      </c:catAx>
      <c:valAx>
        <c:axId val="263969408"/>
        <c:scaling>
          <c:orientation val="minMax"/>
        </c:scaling>
        <c:delete val="1"/>
        <c:axPos val="b"/>
        <c:numFmt formatCode="0.00%" sourceLinked="1"/>
        <c:majorTickMark val="none"/>
        <c:minorTickMark val="none"/>
        <c:tickLblPos val="nextTo"/>
        <c:crossAx val="26396787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dLbl>
              <c:idx val="0"/>
              <c:tx>
                <c:rich>
                  <a:bodyPr/>
                  <a:lstStyle/>
                  <a:p>
                    <a:fld id="{D216E1EE-BE29-43ED-B58F-D0D27F2AE3FE}" type="CATEGORYNAME">
                      <a:rPr lang="zh-CN" altLang="en-US"/>
                      <a:pPr/>
                      <a:t>[类别名称]</a:t>
                    </a:fld>
                    <a:r>
                      <a:t>,</a:t>
                    </a:r>
                    <a:fld id="{A981DDC3-E810-4FED-B5AE-7052C8963455}"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A33677C4-E7E1-44C7-9FAA-B0E7525D7E4A}" type="CATEGORYNAME">
                      <a:rPr lang="zh-CN" altLang="en-US"/>
                      <a:pPr/>
                      <a:t>[类别名称]</a:t>
                    </a:fld>
                    <a:r>
                      <a:t>,</a:t>
                    </a:r>
                    <a:fld id="{DEB09548-F4D3-422A-ADD9-B7441C12D174}"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2"/>
              <c:tx>
                <c:rich>
                  <a:bodyPr/>
                  <a:lstStyle/>
                  <a:p>
                    <a:fld id="{5D49D993-85C0-4868-83EB-95BB320AA801}" type="CATEGORYNAME">
                      <a:rPr lang="zh-CN" altLang="en-US"/>
                      <a:pPr/>
                      <a:t>[类别名称]</a:t>
                    </a:fld>
                    <a:r>
                      <a:t>,</a:t>
                    </a:r>
                    <a:fld id="{AAC41DD3-AADC-42CA-A2F8-7442DB199813}"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tx>
                <c:rich>
                  <a:bodyPr/>
                  <a:lstStyle/>
                  <a:p>
                    <a:fld id="{9FC3B856-3454-42A5-A8BB-97F63BC25887}" type="CATEGORYNAME">
                      <a:rPr lang="zh-CN" altLang="en-US"/>
                      <a:pPr/>
                      <a:t>[类别名称]</a:t>
                    </a:fld>
                    <a:r>
                      <a:t>,</a:t>
                    </a:r>
                    <a:fld id="{F3B88E9E-CB1B-41FE-B224-DA198492824D}"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4"/>
              <c:tx>
                <c:rich>
                  <a:bodyPr/>
                  <a:lstStyle/>
                  <a:p>
                    <a:fld id="{8955129D-356A-4458-BF7A-785DEB7FF5D7}" type="CATEGORYNAME">
                      <a:rPr lang="zh-CN" altLang="en-US"/>
                      <a:pPr/>
                      <a:t>[类别名称]</a:t>
                    </a:fld>
                    <a:r>
                      <a:t>,</a:t>
                    </a:r>
                    <a:fld id="{CADD6076-21FD-4C38-95FE-319E37C130F2}"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自主创业!$A$87:$A$91</c:f>
              <c:strCache>
                <c:ptCount val="5"/>
                <c:pt idx="0">
                  <c:v>大学生创业贷款</c:v>
                </c:pt>
                <c:pt idx="1">
                  <c:v>创业扶持基金</c:v>
                </c:pt>
                <c:pt idx="2">
                  <c:v>其他</c:v>
                </c:pt>
                <c:pt idx="3">
                  <c:v>父母资助</c:v>
                </c:pt>
                <c:pt idx="4">
                  <c:v>风险投资</c:v>
                </c:pt>
              </c:strCache>
            </c:strRef>
          </c:cat>
          <c:val>
            <c:numRef>
              <c:f>自主创业!$C$87:$C$91</c:f>
              <c:numCache>
                <c:formatCode>0.00%</c:formatCode>
                <c:ptCount val="5"/>
                <c:pt idx="0">
                  <c:v>0.42857142857142899</c:v>
                </c:pt>
                <c:pt idx="1">
                  <c:v>0.28571428571428598</c:v>
                </c:pt>
                <c:pt idx="2">
                  <c:v>0.119047619047619</c:v>
                </c:pt>
                <c:pt idx="3">
                  <c:v>9.5238095238095205E-2</c:v>
                </c:pt>
                <c:pt idx="4">
                  <c:v>7.1428571428571397E-2</c:v>
                </c:pt>
              </c:numCache>
            </c:numRef>
          </c:val>
          <c:extLst>
            <c:ext xmlns:c16="http://schemas.microsoft.com/office/drawing/2014/chart" uri="{C3380CC4-5D6E-409C-BE32-E72D297353CC}">
              <c16:uniqueId val="{00000000-D118-F947-9D6C-BB4CBD21399E}"/>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D0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dLbl>
              <c:idx val="0"/>
              <c:tx>
                <c:rich>
                  <a:bodyPr/>
                  <a:lstStyle/>
                  <a:p>
                    <a:fld id="{048DBCE6-BDC8-4164-BD1B-CC5DD1C69659}" type="CATEGORYNAME">
                      <a:rPr lang="zh-CN" altLang="en-US"/>
                      <a:pPr/>
                      <a:t>[类别名称]</a:t>
                    </a:fld>
                    <a:r>
                      <a:t>,</a:t>
                    </a:r>
                    <a:fld id="{ADEA3136-EBAF-4574-AC34-035AC337BBBC}"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6ADB8609-2F08-4270-AEF9-16A0E799B852}" type="CATEGORYNAME">
                      <a:rPr lang="zh-CN" altLang="en-US"/>
                      <a:pPr/>
                      <a:t>[类别名称]</a:t>
                    </a:fld>
                    <a:r>
                      <a:t>,</a:t>
                    </a:r>
                    <a:fld id="{55C462CA-635D-4A86-8A63-5D2990FEA32E}"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2"/>
              <c:tx>
                <c:rich>
                  <a:bodyPr/>
                  <a:lstStyle/>
                  <a:p>
                    <a:fld id="{E2BA0302-5E04-4B89-BE53-E55F58A70359}" type="CATEGORYNAME">
                      <a:rPr lang="zh-CN" altLang="en-US"/>
                      <a:pPr/>
                      <a:t>[类别名称]</a:t>
                    </a:fld>
                    <a:r>
                      <a:t>,</a:t>
                    </a:r>
                    <a:fld id="{BCDAB20A-737B-4047-9FB5-2E6D1A4E5DC3}"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tx>
                <c:rich>
                  <a:bodyPr/>
                  <a:lstStyle/>
                  <a:p>
                    <a:fld id="{5C5C2604-772C-4626-8547-B0018272F051}" type="CATEGORYNAME">
                      <a:rPr lang="zh-CN" altLang="en-US"/>
                      <a:pPr/>
                      <a:t>[类别名称]</a:t>
                    </a:fld>
                    <a:r>
                      <a:t>,</a:t>
                    </a:r>
                    <a:fld id="{A4D66CCC-CCED-4E51-A228-7459141E9318}"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4"/>
              <c:tx>
                <c:rich>
                  <a:bodyPr/>
                  <a:lstStyle/>
                  <a:p>
                    <a:fld id="{07A59308-0A2C-42B0-872E-914890A704C9}" type="CATEGORYNAME">
                      <a:rPr lang="zh-CN" altLang="en-US"/>
                      <a:pPr/>
                      <a:t>[类别名称]</a:t>
                    </a:fld>
                    <a:r>
                      <a:t>,</a:t>
                    </a:r>
                    <a:fld id="{1189F9BC-03F9-49DA-B2DC-927DBC38F834}"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自主创业!$A$102:$A$106</c:f>
              <c:strCache>
                <c:ptCount val="5"/>
                <c:pt idx="0">
                  <c:v>非常支持</c:v>
                </c:pt>
                <c:pt idx="1">
                  <c:v>勉强支持</c:v>
                </c:pt>
                <c:pt idx="2">
                  <c:v>中立态度</c:v>
                </c:pt>
                <c:pt idx="3">
                  <c:v>比较反对</c:v>
                </c:pt>
                <c:pt idx="4">
                  <c:v>非常反对</c:v>
                </c:pt>
              </c:strCache>
            </c:strRef>
          </c:cat>
          <c:val>
            <c:numRef>
              <c:f>自主创业!$C$102:$C$106</c:f>
              <c:numCache>
                <c:formatCode>0.00%</c:formatCode>
                <c:ptCount val="5"/>
                <c:pt idx="0">
                  <c:v>0.35714285714285698</c:v>
                </c:pt>
                <c:pt idx="1">
                  <c:v>0.30952380952380998</c:v>
                </c:pt>
                <c:pt idx="2">
                  <c:v>0.214285714285714</c:v>
                </c:pt>
                <c:pt idx="3">
                  <c:v>9.5238095238095205E-2</c:v>
                </c:pt>
                <c:pt idx="4">
                  <c:v>2.3809523809523801E-2</c:v>
                </c:pt>
              </c:numCache>
            </c:numRef>
          </c:val>
          <c:extLst>
            <c:ext xmlns:c16="http://schemas.microsoft.com/office/drawing/2014/chart" uri="{C3380CC4-5D6E-409C-BE32-E72D297353CC}">
              <c16:uniqueId val="{00000000-693E-2E41-8568-7FFE39415810}"/>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2249412719388898"/>
          <c:y val="3.6124794745484398E-2"/>
          <c:w val="0.62579143053783404"/>
          <c:h val="0.92775041050903195"/>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自主创业!$A$122:$A$132</c:f>
              <c:strCache>
                <c:ptCount val="11"/>
                <c:pt idx="0">
                  <c:v>创新创业教育课程</c:v>
                </c:pt>
                <c:pt idx="1">
                  <c:v>学校或政府的创业培训和咨询</c:v>
                </c:pt>
                <c:pt idx="2">
                  <c:v>创业辅导活动</c:v>
                </c:pt>
                <c:pt idx="3">
                  <c:v>假期实习/兼职</c:v>
                </c:pt>
                <c:pt idx="4">
                  <c:v>社会活动</c:v>
                </c:pt>
                <c:pt idx="5">
                  <c:v>创新创业园等实践基地</c:v>
                </c:pt>
                <c:pt idx="6">
                  <c:v>创业大赛</c:v>
                </c:pt>
                <c:pt idx="7">
                  <c:v>创业经验交流</c:v>
                </c:pt>
                <c:pt idx="8">
                  <c:v>典型事迹报告</c:v>
                </c:pt>
                <c:pt idx="9">
                  <c:v>创业成果展</c:v>
                </c:pt>
                <c:pt idx="10">
                  <c:v>创业论坛及讲座</c:v>
                </c:pt>
              </c:strCache>
            </c:strRef>
          </c:cat>
          <c:val>
            <c:numRef>
              <c:f>自主创业!$C$122:$C$132</c:f>
              <c:numCache>
                <c:formatCode>0.00%</c:formatCode>
                <c:ptCount val="11"/>
                <c:pt idx="0">
                  <c:v>2.53164556962025E-2</c:v>
                </c:pt>
                <c:pt idx="1">
                  <c:v>2.53164556962025E-2</c:v>
                </c:pt>
                <c:pt idx="2">
                  <c:v>6.3291139240506306E-2</c:v>
                </c:pt>
                <c:pt idx="3">
                  <c:v>6.3291139240506306E-2</c:v>
                </c:pt>
                <c:pt idx="4">
                  <c:v>6.3291139240506306E-2</c:v>
                </c:pt>
                <c:pt idx="5">
                  <c:v>8.8607594936709E-2</c:v>
                </c:pt>
                <c:pt idx="6">
                  <c:v>0.126582278481013</c:v>
                </c:pt>
                <c:pt idx="7">
                  <c:v>0.126582278481013</c:v>
                </c:pt>
                <c:pt idx="8">
                  <c:v>0.126582278481013</c:v>
                </c:pt>
                <c:pt idx="9">
                  <c:v>0.139240506329114</c:v>
                </c:pt>
                <c:pt idx="10">
                  <c:v>0.151898734177215</c:v>
                </c:pt>
              </c:numCache>
            </c:numRef>
          </c:val>
          <c:extLst>
            <c:ext xmlns:c16="http://schemas.microsoft.com/office/drawing/2014/chart" uri="{C3380CC4-5D6E-409C-BE32-E72D297353CC}">
              <c16:uniqueId val="{00000000-D965-8940-A41B-8AD5C840BADA}"/>
            </c:ext>
          </c:extLst>
        </c:ser>
        <c:dLbls>
          <c:showLegendKey val="0"/>
          <c:showVal val="1"/>
          <c:showCatName val="0"/>
          <c:showSerName val="0"/>
          <c:showPercent val="0"/>
          <c:showBubbleSize val="0"/>
        </c:dLbls>
        <c:gapWidth val="100"/>
        <c:axId val="264193152"/>
        <c:axId val="264194688"/>
      </c:barChart>
      <c:catAx>
        <c:axId val="2641931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194688"/>
        <c:crosses val="autoZero"/>
        <c:auto val="1"/>
        <c:lblAlgn val="ctr"/>
        <c:lblOffset val="100"/>
        <c:noMultiLvlLbl val="0"/>
      </c:catAx>
      <c:valAx>
        <c:axId val="264194688"/>
        <c:scaling>
          <c:orientation val="minMax"/>
        </c:scaling>
        <c:delete val="1"/>
        <c:axPos val="b"/>
        <c:numFmt formatCode="0.00%" sourceLinked="1"/>
        <c:majorTickMark val="none"/>
        <c:minorTickMark val="none"/>
        <c:tickLblPos val="nextTo"/>
        <c:crossAx val="26419315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0804673976311597"/>
          <c:y val="3.6124794745484398E-2"/>
          <c:w val="0.64023881796860704"/>
          <c:h val="0.92775041050903195"/>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自主创业!$A$142:$A$148</c:f>
              <c:strCache>
                <c:ptCount val="7"/>
                <c:pt idx="0">
                  <c:v>其他</c:v>
                </c:pt>
                <c:pt idx="1">
                  <c:v>学习创业课程</c:v>
                </c:pt>
                <c:pt idx="2">
                  <c:v>上网浏览信息，寻找创业机会</c:v>
                </c:pt>
                <c:pt idx="3">
                  <c:v>向成功创业者学习</c:v>
                </c:pt>
                <c:pt idx="4">
                  <c:v>多和朋友沟通，整合身边资源</c:v>
                </c:pt>
                <c:pt idx="5">
                  <c:v>研读创业书籍</c:v>
                </c:pt>
                <c:pt idx="6">
                  <c:v>到社会中历练</c:v>
                </c:pt>
              </c:strCache>
            </c:strRef>
          </c:cat>
          <c:val>
            <c:numRef>
              <c:f>自主创业!$B$142:$B$148</c:f>
              <c:numCache>
                <c:formatCode>0.00%</c:formatCode>
                <c:ptCount val="7"/>
                <c:pt idx="0">
                  <c:v>1.26582278481013E-2</c:v>
                </c:pt>
                <c:pt idx="1">
                  <c:v>8.8607594936709E-2</c:v>
                </c:pt>
                <c:pt idx="2">
                  <c:v>0.126582278481013</c:v>
                </c:pt>
                <c:pt idx="3">
                  <c:v>0.151898734177215</c:v>
                </c:pt>
                <c:pt idx="4">
                  <c:v>0.164556962025316</c:v>
                </c:pt>
                <c:pt idx="5">
                  <c:v>0.189873417721519</c:v>
                </c:pt>
                <c:pt idx="6">
                  <c:v>0.265822784810127</c:v>
                </c:pt>
              </c:numCache>
            </c:numRef>
          </c:val>
          <c:extLst>
            <c:ext xmlns:c16="http://schemas.microsoft.com/office/drawing/2014/chart" uri="{C3380CC4-5D6E-409C-BE32-E72D297353CC}">
              <c16:uniqueId val="{00000000-79BF-B548-8310-9176F8F0A8FF}"/>
            </c:ext>
          </c:extLst>
        </c:ser>
        <c:dLbls>
          <c:showLegendKey val="0"/>
          <c:showVal val="1"/>
          <c:showCatName val="0"/>
          <c:showSerName val="0"/>
          <c:showPercent val="0"/>
          <c:showBubbleSize val="0"/>
        </c:dLbls>
        <c:gapWidth val="100"/>
        <c:axId val="264214400"/>
        <c:axId val="264215936"/>
      </c:barChart>
      <c:catAx>
        <c:axId val="2642144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215936"/>
        <c:crosses val="autoZero"/>
        <c:auto val="1"/>
        <c:lblAlgn val="ctr"/>
        <c:lblOffset val="100"/>
        <c:noMultiLvlLbl val="0"/>
      </c:catAx>
      <c:valAx>
        <c:axId val="264215936"/>
        <c:scaling>
          <c:orientation val="minMax"/>
        </c:scaling>
        <c:delete val="1"/>
        <c:axPos val="b"/>
        <c:numFmt formatCode="0.00%" sourceLinked="1"/>
        <c:majorTickMark val="none"/>
        <c:minorTickMark val="none"/>
        <c:tickLblPos val="nextTo"/>
        <c:crossAx val="26421440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Lbls>
            <c:dLbl>
              <c:idx val="0"/>
              <c:tx>
                <c:rich>
                  <a:bodyPr/>
                  <a:lstStyle/>
                  <a:p>
                    <a:fld id="{866F83F1-5E44-4A89-A51A-CF86F6173BFB}" type="CATEGORYNAME">
                      <a:rPr lang="zh-CN" altLang="en-US"/>
                      <a:pPr/>
                      <a:t>[类别名称]</a:t>
                    </a:fld>
                    <a:r>
                      <a:t>,</a:t>
                    </a:r>
                    <a:fld id="{8525645A-98E0-4B84-935D-CA4035F66885}"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A615D622-9C98-4C27-A99F-2BAA9220B63C}" type="CATEGORYNAME">
                      <a:rPr lang="zh-CN" altLang="en-US"/>
                      <a:pPr/>
                      <a:t>[类别名称]</a:t>
                    </a:fld>
                    <a:r>
                      <a:t>,</a:t>
                    </a:r>
                    <a:fld id="{2E12DB08-C799-40F0-BBBA-8CE728F3E81E}"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留赣就业!$A$2:$A$3</c:f>
              <c:strCache>
                <c:ptCount val="2"/>
                <c:pt idx="0">
                  <c:v>是</c:v>
                </c:pt>
                <c:pt idx="1">
                  <c:v>否</c:v>
                </c:pt>
              </c:strCache>
            </c:strRef>
          </c:cat>
          <c:val>
            <c:numRef>
              <c:f>留赣就业!$C$2:$C$3</c:f>
              <c:numCache>
                <c:formatCode>0.00%</c:formatCode>
                <c:ptCount val="2"/>
                <c:pt idx="0">
                  <c:v>0.25130000000000002</c:v>
                </c:pt>
                <c:pt idx="1">
                  <c:v>0.74870000000000103</c:v>
                </c:pt>
              </c:numCache>
            </c:numRef>
          </c:val>
          <c:extLst>
            <c:ext xmlns:c16="http://schemas.microsoft.com/office/drawing/2014/chart" uri="{C3380CC4-5D6E-409C-BE32-E72D297353CC}">
              <c16:uniqueId val="{00000000-E795-0A43-A3FC-982AAB869C6F}"/>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542630924596999"/>
          <c:y val="9.4574316342753095E-2"/>
          <c:w val="0.83457369075402998"/>
          <c:h val="0.90542568365724696"/>
        </c:manualLayout>
      </c:layout>
      <c:barChart>
        <c:barDir val="bar"/>
        <c:grouping val="clustered"/>
        <c:varyColors val="0"/>
        <c:ser>
          <c:idx val="0"/>
          <c:order val="0"/>
          <c:tx>
            <c:strRef>
              <c:f>'C:\Users\Administrator\Documents\WXWork\1688850295449638\Cache\File\2019-10\[就业质量报告生成图 new.xlsx]龙卷风图'!$B$21</c:f>
              <c:strCache>
                <c:ptCount val="1"/>
                <c:pt idx="0">
                  <c:v>留赣</c:v>
                </c:pt>
              </c:strCache>
            </c:strRef>
          </c:tx>
          <c:spPr>
            <a:solidFill>
              <a:srgbClr val="D00E2C">
                <a:alpha val="8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'C:\Users\Administrator\Documents\WXWork\1688850295449638\Cache\File\2019-10\[就业质量报告生成图 new.xlsx]龙卷风图'!$A$22:$A$31</c:f>
              <c:strCache>
                <c:ptCount val="10"/>
                <c:pt idx="0">
                  <c:v>平均薪资待遇</c:v>
                </c:pt>
                <c:pt idx="1">
                  <c:v>个人发展前景</c:v>
                </c:pt>
                <c:pt idx="2">
                  <c:v>城市发展</c:v>
                </c:pt>
                <c:pt idx="3">
                  <c:v>就创业环境</c:v>
                </c:pt>
                <c:pt idx="4">
                  <c:v>岗位选择和就业机会</c:v>
                </c:pt>
                <c:pt idx="5">
                  <c:v>人才引进新政吸引度</c:v>
                </c:pt>
                <c:pt idx="6">
                  <c:v>就业优惠政策力度</c:v>
                </c:pt>
                <c:pt idx="7">
                  <c:v>家庭影响</c:v>
                </c:pt>
                <c:pt idx="8">
                  <c:v>生活成本和生活节奏</c:v>
                </c:pt>
                <c:pt idx="9">
                  <c:v>选择回乡</c:v>
                </c:pt>
              </c:strCache>
            </c:strRef>
          </c:cat>
          <c:val>
            <c:numRef>
              <c:f>'C:\Users\Administrator\Documents\WXWork\1688850295449638\Cache\File\2019-10\[就业质量报告生成图 new.xlsx]龙卷风图'!$B$22:$B$31</c:f>
              <c:numCache>
                <c:formatCode>0.00%</c:formatCode>
                <c:ptCount val="10"/>
                <c:pt idx="0">
                  <c:v>2.0199999999999999E-2</c:v>
                </c:pt>
                <c:pt idx="1">
                  <c:v>2.2800000000000001E-2</c:v>
                </c:pt>
                <c:pt idx="2">
                  <c:v>4.9700000000000001E-2</c:v>
                </c:pt>
                <c:pt idx="3">
                  <c:v>6.1800000000000001E-2</c:v>
                </c:pt>
                <c:pt idx="4">
                  <c:v>7.2599999999999998E-2</c:v>
                </c:pt>
                <c:pt idx="5">
                  <c:v>8.4700000000000095E-2</c:v>
                </c:pt>
                <c:pt idx="6">
                  <c:v>8.8700000000000098E-2</c:v>
                </c:pt>
                <c:pt idx="7">
                  <c:v>0.15190000000000001</c:v>
                </c:pt>
                <c:pt idx="8">
                  <c:v>0.17879999999999999</c:v>
                </c:pt>
                <c:pt idx="9">
                  <c:v>0.26879999999999998</c:v>
                </c:pt>
              </c:numCache>
            </c:numRef>
          </c:val>
          <c:extLst>
            <c:ext xmlns:c16="http://schemas.microsoft.com/office/drawing/2014/chart" uri="{C3380CC4-5D6E-409C-BE32-E72D297353CC}">
              <c16:uniqueId val="{00000000-0457-5546-95E6-2109B1E18957}"/>
            </c:ext>
          </c:extLst>
        </c:ser>
        <c:dLbls>
          <c:showLegendKey val="0"/>
          <c:showVal val="1"/>
          <c:showCatName val="0"/>
          <c:showSerName val="0"/>
          <c:showPercent val="0"/>
          <c:showBubbleSize val="0"/>
        </c:dLbls>
        <c:gapWidth val="100"/>
        <c:axId val="264293760"/>
        <c:axId val="264320128"/>
      </c:barChart>
      <c:barChart>
        <c:barDir val="bar"/>
        <c:grouping val="clustered"/>
        <c:varyColors val="0"/>
        <c:ser>
          <c:idx val="1"/>
          <c:order val="1"/>
          <c:tx>
            <c:strRef>
              <c:f>'C:\Users\Administrator\Documents\WXWork\1688850295449638\Cache\File\2019-10\[就业质量报告生成图 new.xlsx]龙卷风图'!$C$21</c:f>
              <c:strCache>
                <c:ptCount val="1"/>
                <c:pt idx="0">
                  <c:v>未留赣</c:v>
                </c:pt>
              </c:strCache>
            </c:strRef>
          </c:tx>
          <c:spPr>
            <a:solidFill>
              <a:srgbClr val="D00E2C">
                <a:alpha val="4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'C:\Users\Administrator\Documents\WXWork\1688850295449638\Cache\File\2019-10\[就业质量报告生成图 new.xlsx]龙卷风图'!$A$22:$A$31</c:f>
              <c:strCache>
                <c:ptCount val="10"/>
                <c:pt idx="0">
                  <c:v>平均薪资待遇</c:v>
                </c:pt>
                <c:pt idx="1">
                  <c:v>个人发展前景</c:v>
                </c:pt>
                <c:pt idx="2">
                  <c:v>城市发展</c:v>
                </c:pt>
                <c:pt idx="3">
                  <c:v>就创业环境</c:v>
                </c:pt>
                <c:pt idx="4">
                  <c:v>岗位选择和就业机会</c:v>
                </c:pt>
                <c:pt idx="5">
                  <c:v>人才引进新政吸引度</c:v>
                </c:pt>
                <c:pt idx="6">
                  <c:v>就业优惠政策力度</c:v>
                </c:pt>
                <c:pt idx="7">
                  <c:v>家庭影响</c:v>
                </c:pt>
                <c:pt idx="8">
                  <c:v>生活成本和生活节奏</c:v>
                </c:pt>
                <c:pt idx="9">
                  <c:v>选择回乡</c:v>
                </c:pt>
              </c:strCache>
            </c:strRef>
          </c:cat>
          <c:val>
            <c:numRef>
              <c:f>'C:\Users\Administrator\Documents\WXWork\1688850295449638\Cache\File\2019-10\[就业质量报告生成图 new.xlsx]龙卷风图'!$C$22:$C$31</c:f>
              <c:numCache>
                <c:formatCode>0.00%</c:formatCode>
                <c:ptCount val="10"/>
                <c:pt idx="0">
                  <c:v>0.1676</c:v>
                </c:pt>
                <c:pt idx="1">
                  <c:v>0.1167</c:v>
                </c:pt>
                <c:pt idx="2">
                  <c:v>0.1739</c:v>
                </c:pt>
                <c:pt idx="3">
                  <c:v>8.3600000000000105E-2</c:v>
                </c:pt>
                <c:pt idx="4">
                  <c:v>0.14410000000000001</c:v>
                </c:pt>
                <c:pt idx="5">
                  <c:v>8.4099999999999994E-2</c:v>
                </c:pt>
                <c:pt idx="6">
                  <c:v>7.5899999999999995E-2</c:v>
                </c:pt>
                <c:pt idx="7">
                  <c:v>5.57E-2</c:v>
                </c:pt>
                <c:pt idx="8">
                  <c:v>1.6799999999999999E-2</c:v>
                </c:pt>
                <c:pt idx="9">
                  <c:v>8.1699999999999995E-2</c:v>
                </c:pt>
              </c:numCache>
            </c:numRef>
          </c:val>
          <c:extLst>
            <c:ext xmlns:c16="http://schemas.microsoft.com/office/drawing/2014/chart" uri="{C3380CC4-5D6E-409C-BE32-E72D297353CC}">
              <c16:uniqueId val="{00000001-0457-5546-95E6-2109B1E18957}"/>
            </c:ext>
          </c:extLst>
        </c:ser>
        <c:dLbls>
          <c:showLegendKey val="0"/>
          <c:showVal val="1"/>
          <c:showCatName val="0"/>
          <c:showSerName val="0"/>
          <c:showPercent val="0"/>
          <c:showBubbleSize val="0"/>
        </c:dLbls>
        <c:gapWidth val="100"/>
        <c:axId val="264327552"/>
        <c:axId val="264321664"/>
      </c:barChart>
      <c:catAx>
        <c:axId val="264293760"/>
        <c:scaling>
          <c:orientation val="minMax"/>
        </c:scaling>
        <c:delete val="0"/>
        <c:axPos val="r"/>
        <c:numFmt formatCode="General" sourceLinked="1"/>
        <c:majorTickMark val="none"/>
        <c:minorTickMark val="none"/>
        <c:tickLblPos val="high"/>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320128"/>
        <c:crosses val="autoZero"/>
        <c:auto val="1"/>
        <c:lblAlgn val="ctr"/>
        <c:lblOffset val="100"/>
        <c:noMultiLvlLbl val="0"/>
      </c:catAx>
      <c:valAx>
        <c:axId val="264320128"/>
        <c:scaling>
          <c:orientation val="maxMin"/>
          <c:max val="0.3"/>
          <c:min val="-0.3"/>
        </c:scaling>
        <c:delete val="1"/>
        <c:axPos val="b"/>
        <c:numFmt formatCode="0.00%" sourceLinked="1"/>
        <c:majorTickMark val="out"/>
        <c:minorTickMark val="none"/>
        <c:tickLblPos val="nextTo"/>
        <c:crossAx val="264293760"/>
        <c:crosses val="autoZero"/>
        <c:crossBetween val="between"/>
      </c:valAx>
      <c:valAx>
        <c:axId val="264321664"/>
        <c:scaling>
          <c:orientation val="minMax"/>
          <c:max val="0.2"/>
          <c:min val="-0.2"/>
        </c:scaling>
        <c:delete val="1"/>
        <c:axPos val="t"/>
        <c:numFmt formatCode="0.00%" sourceLinked="1"/>
        <c:majorTickMark val="out"/>
        <c:minorTickMark val="none"/>
        <c:tickLblPos val="nextTo"/>
        <c:crossAx val="264327552"/>
        <c:crosses val="max"/>
        <c:crossBetween val="between"/>
      </c:valAx>
      <c:catAx>
        <c:axId val="264327552"/>
        <c:scaling>
          <c:orientation val="minMax"/>
        </c:scaling>
        <c:delete val="1"/>
        <c:axPos val="l"/>
        <c:numFmt formatCode="General" sourceLinked="1"/>
        <c:majorTickMark val="out"/>
        <c:minorTickMark val="none"/>
        <c:tickLblPos val="nextTo"/>
        <c:crossAx val="264321664"/>
        <c:crossesAt val="0"/>
        <c:auto val="1"/>
        <c:lblAlgn val="ctr"/>
        <c:lblOffset val="100"/>
        <c:noMultiLvlLbl val="0"/>
      </c:catAx>
      <c:spPr>
        <a:noFill/>
        <a:ln>
          <a:noFill/>
        </a:ln>
        <a:effectLst/>
      </c:spPr>
    </c:plotArea>
    <c:legend>
      <c:legendPos val="t"/>
      <c:layout>
        <c:manualLayout>
          <c:xMode val="edge"/>
          <c:yMode val="edge"/>
          <c:x val="0.49398897675714998"/>
          <c:y val="0"/>
          <c:w val="0.230527810181135"/>
          <c:h val="7.5140510159965396E-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Lbls>
            <c:dLbl>
              <c:idx val="0"/>
              <c:tx>
                <c:rich>
                  <a:bodyPr/>
                  <a:lstStyle/>
                  <a:p>
                    <a:fld id="{07FF85C7-4DE5-467A-AF16-D4127A0E370F}" type="CATEGORYNAME">
                      <a:rPr lang="zh-CN" altLang="en-US"/>
                      <a:pPr/>
                      <a:t>[类别名称]</a:t>
                    </a:fld>
                    <a:r>
                      <a:t>,</a:t>
                    </a:r>
                    <a:fld id="{CC00D4FE-5823-4163-8BCD-28FA8219BDF1}"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1"/>
              <c:tx>
                <c:rich>
                  <a:bodyPr/>
                  <a:lstStyle/>
                  <a:p>
                    <a:fld id="{04EA711A-66EB-4BB9-8F9B-0607DB7AFCB8}" type="CATEGORYNAME">
                      <a:rPr lang="zh-CN" altLang="en-US"/>
                      <a:pPr/>
                      <a:t>[类别名称]</a:t>
                    </a:fld>
                    <a:r>
                      <a:t>,</a:t>
                    </a:r>
                    <a:fld id="{069A0079-C009-4ED8-A589-EC087A37D818}"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留赣就业!$A$62:$A$63</c:f>
              <c:strCache>
                <c:ptCount val="2"/>
                <c:pt idx="0">
                  <c:v>是</c:v>
                </c:pt>
                <c:pt idx="1">
                  <c:v>否</c:v>
                </c:pt>
              </c:strCache>
            </c:strRef>
          </c:cat>
          <c:val>
            <c:numRef>
              <c:f>留赣就业!$C$62:$C$63</c:f>
              <c:numCache>
                <c:formatCode>0.00%</c:formatCode>
                <c:ptCount val="2"/>
                <c:pt idx="0">
                  <c:v>0.49740000000000001</c:v>
                </c:pt>
                <c:pt idx="1">
                  <c:v>0.50260000000000005</c:v>
                </c:pt>
              </c:numCache>
            </c:numRef>
          </c:val>
          <c:extLst>
            <c:ext xmlns:c16="http://schemas.microsoft.com/office/drawing/2014/chart" uri="{C3380CC4-5D6E-409C-BE32-E72D297353CC}">
              <c16:uniqueId val="{00000000-8D22-A444-867F-AD92378968F2}"/>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留赣就业!$A$79:$A$84</c:f>
              <c:strCache>
                <c:ptCount val="6"/>
                <c:pt idx="0">
                  <c:v>创业服务政策</c:v>
                </c:pt>
                <c:pt idx="1">
                  <c:v>就业帮扶政策</c:v>
                </c:pt>
                <c:pt idx="2">
                  <c:v>职业培训政策</c:v>
                </c:pt>
                <c:pt idx="3">
                  <c:v>企业发展政策</c:v>
                </c:pt>
                <c:pt idx="4">
                  <c:v>就业优惠政策</c:v>
                </c:pt>
                <c:pt idx="5">
                  <c:v>人才引进政策</c:v>
                </c:pt>
              </c:strCache>
            </c:strRef>
          </c:cat>
          <c:val>
            <c:numRef>
              <c:f>留赣就业!$C$79:$C$84</c:f>
              <c:numCache>
                <c:formatCode>0.00%</c:formatCode>
                <c:ptCount val="6"/>
                <c:pt idx="0">
                  <c:v>6.7500000000000004E-2</c:v>
                </c:pt>
                <c:pt idx="1">
                  <c:v>0.1138</c:v>
                </c:pt>
                <c:pt idx="2">
                  <c:v>0.1171</c:v>
                </c:pt>
                <c:pt idx="3">
                  <c:v>0.14699999999999999</c:v>
                </c:pt>
                <c:pt idx="4">
                  <c:v>0.25590000000000002</c:v>
                </c:pt>
                <c:pt idx="5">
                  <c:v>0.29880000000000001</c:v>
                </c:pt>
              </c:numCache>
            </c:numRef>
          </c:val>
          <c:extLst>
            <c:ext xmlns:c16="http://schemas.microsoft.com/office/drawing/2014/chart" uri="{C3380CC4-5D6E-409C-BE32-E72D297353CC}">
              <c16:uniqueId val="{00000000-C219-8B42-A711-1696E1386012}"/>
            </c:ext>
          </c:extLst>
        </c:ser>
        <c:dLbls>
          <c:showLegendKey val="0"/>
          <c:showVal val="1"/>
          <c:showCatName val="0"/>
          <c:showSerName val="0"/>
          <c:showPercent val="0"/>
          <c:showBubbleSize val="0"/>
        </c:dLbls>
        <c:gapWidth val="150"/>
        <c:overlap val="-27"/>
        <c:axId val="264456448"/>
        <c:axId val="264466432"/>
      </c:barChart>
      <c:catAx>
        <c:axId val="264456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466432"/>
        <c:crosses val="autoZero"/>
        <c:auto val="1"/>
        <c:lblAlgn val="ctr"/>
        <c:lblOffset val="100"/>
        <c:noMultiLvlLbl val="0"/>
      </c:catAx>
      <c:valAx>
        <c:axId val="264466432"/>
        <c:scaling>
          <c:orientation val="minMax"/>
        </c:scaling>
        <c:delete val="1"/>
        <c:axPos val="l"/>
        <c:numFmt formatCode="0.00%" sourceLinked="1"/>
        <c:majorTickMark val="none"/>
        <c:minorTickMark val="none"/>
        <c:tickLblPos val="nextTo"/>
        <c:crossAx val="26445644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940608344977799"/>
          <c:y val="5.4173848805712903E-2"/>
          <c:w val="0.64946220453481096"/>
          <c:h val="0.89165230238857496"/>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教育教学反馈!$A$265:$A$271</c:f>
              <c:strCache>
                <c:ptCount val="7"/>
                <c:pt idx="0">
                  <c:v>其他</c:v>
                </c:pt>
                <c:pt idx="1">
                  <c:v>公共课程时间安排</c:v>
                </c:pt>
                <c:pt idx="2">
                  <c:v>每周上课时间安排</c:v>
                </c:pt>
                <c:pt idx="3">
                  <c:v>各学期开设课程门数</c:v>
                </c:pt>
                <c:pt idx="4">
                  <c:v>专业课开设的先后顺序</c:v>
                </c:pt>
                <c:pt idx="5">
                  <c:v>实践课程安排次数</c:v>
                </c:pt>
                <c:pt idx="6">
                  <c:v>本专业课程的实用性</c:v>
                </c:pt>
              </c:strCache>
            </c:strRef>
          </c:cat>
          <c:val>
            <c:numRef>
              <c:f>教育教学反馈!$C$265:$C$271</c:f>
              <c:numCache>
                <c:formatCode>0.00%</c:formatCode>
                <c:ptCount val="7"/>
                <c:pt idx="0">
                  <c:v>2.2100000000000002E-2</c:v>
                </c:pt>
                <c:pt idx="1">
                  <c:v>6.7100000000000007E-2</c:v>
                </c:pt>
                <c:pt idx="2">
                  <c:v>9.3000000000000096E-2</c:v>
                </c:pt>
                <c:pt idx="3">
                  <c:v>0.1515</c:v>
                </c:pt>
                <c:pt idx="4">
                  <c:v>0.1905</c:v>
                </c:pt>
                <c:pt idx="5">
                  <c:v>0.2001</c:v>
                </c:pt>
                <c:pt idx="6">
                  <c:v>0.27560000000000001</c:v>
                </c:pt>
              </c:numCache>
            </c:numRef>
          </c:val>
          <c:extLst>
            <c:ext xmlns:c16="http://schemas.microsoft.com/office/drawing/2014/chart" uri="{C3380CC4-5D6E-409C-BE32-E72D297353CC}">
              <c16:uniqueId val="{00000000-BF53-A74F-B4E7-A08E9DE85C28}"/>
            </c:ext>
          </c:extLst>
        </c:ser>
        <c:dLbls>
          <c:showLegendKey val="0"/>
          <c:showVal val="1"/>
          <c:showCatName val="0"/>
          <c:showSerName val="0"/>
          <c:showPercent val="0"/>
          <c:showBubbleSize val="0"/>
        </c:dLbls>
        <c:gapWidth val="100"/>
        <c:axId val="264473600"/>
        <c:axId val="264499968"/>
      </c:barChart>
      <c:catAx>
        <c:axId val="2644736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499968"/>
        <c:crosses val="autoZero"/>
        <c:auto val="1"/>
        <c:lblAlgn val="ctr"/>
        <c:lblOffset val="100"/>
        <c:noMultiLvlLbl val="0"/>
      </c:catAx>
      <c:valAx>
        <c:axId val="264499968"/>
        <c:scaling>
          <c:orientation val="minMax"/>
        </c:scaling>
        <c:delete val="1"/>
        <c:axPos val="b"/>
        <c:numFmt formatCode="0.00%" sourceLinked="1"/>
        <c:majorTickMark val="none"/>
        <c:minorTickMark val="none"/>
        <c:tickLblPos val="nextTo"/>
        <c:crossAx val="26447360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004132084840701"/>
          <c:y val="4.1314553990610299E-2"/>
          <c:w val="0.630481522701548"/>
          <c:h val="0.91737089201877997"/>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教育教学反馈!$A$344:$A$352</c:f>
              <c:strCache>
                <c:ptCount val="9"/>
                <c:pt idx="0">
                  <c:v>其他</c:v>
                </c:pt>
                <c:pt idx="1">
                  <c:v>师生互动</c:v>
                </c:pt>
                <c:pt idx="2">
                  <c:v>公共课内容及安排</c:v>
                </c:pt>
                <c:pt idx="3">
                  <c:v>师资水平</c:v>
                </c:pt>
                <c:pt idx="4">
                  <c:v>学习兴趣</c:v>
                </c:pt>
                <c:pt idx="5">
                  <c:v>考核方法与教学评价</c:v>
                </c:pt>
                <c:pt idx="6">
                  <c:v>专业课内容及安排</c:v>
                </c:pt>
                <c:pt idx="7">
                  <c:v>教学方法和手段</c:v>
                </c:pt>
                <c:pt idx="8">
                  <c:v>实践教学</c:v>
                </c:pt>
              </c:strCache>
            </c:strRef>
          </c:cat>
          <c:val>
            <c:numRef>
              <c:f>教育教学反馈!$C$344:$C$352</c:f>
              <c:numCache>
                <c:formatCode>0.00%</c:formatCode>
                <c:ptCount val="9"/>
                <c:pt idx="0">
                  <c:v>9.9000000000000095E-3</c:v>
                </c:pt>
                <c:pt idx="1">
                  <c:v>6.0100000000000001E-2</c:v>
                </c:pt>
                <c:pt idx="2">
                  <c:v>7.9100000000000004E-2</c:v>
                </c:pt>
                <c:pt idx="3">
                  <c:v>0.1027</c:v>
                </c:pt>
                <c:pt idx="4">
                  <c:v>0.1062</c:v>
                </c:pt>
                <c:pt idx="5">
                  <c:v>0.1086</c:v>
                </c:pt>
                <c:pt idx="6">
                  <c:v>0.17069999999999999</c:v>
                </c:pt>
                <c:pt idx="7">
                  <c:v>0.17349999999999999</c:v>
                </c:pt>
                <c:pt idx="8">
                  <c:v>0.18920000000000001</c:v>
                </c:pt>
              </c:numCache>
            </c:numRef>
          </c:val>
          <c:extLst>
            <c:ext xmlns:c16="http://schemas.microsoft.com/office/drawing/2014/chart" uri="{C3380CC4-5D6E-409C-BE32-E72D297353CC}">
              <c16:uniqueId val="{00000000-B683-9F44-B1EF-7E1E4FFE5789}"/>
            </c:ext>
          </c:extLst>
        </c:ser>
        <c:dLbls>
          <c:showLegendKey val="0"/>
          <c:showVal val="1"/>
          <c:showCatName val="0"/>
          <c:showSerName val="0"/>
          <c:showPercent val="0"/>
          <c:showBubbleSize val="0"/>
        </c:dLbls>
        <c:gapWidth val="100"/>
        <c:axId val="264589312"/>
        <c:axId val="264590848"/>
      </c:barChart>
      <c:catAx>
        <c:axId val="2645893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590848"/>
        <c:crosses val="autoZero"/>
        <c:auto val="1"/>
        <c:lblAlgn val="ctr"/>
        <c:lblOffset val="100"/>
        <c:noMultiLvlLbl val="0"/>
      </c:catAx>
      <c:valAx>
        <c:axId val="264590848"/>
        <c:scaling>
          <c:orientation val="minMax"/>
        </c:scaling>
        <c:delete val="1"/>
        <c:axPos val="b"/>
        <c:numFmt formatCode="0.00%" sourceLinked="1"/>
        <c:majorTickMark val="none"/>
        <c:minorTickMark val="none"/>
        <c:tickLblPos val="nextTo"/>
        <c:crossAx val="26458931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0110365147289401"/>
          <c:y val="6.8344206275240807E-2"/>
          <c:w val="0.53388310508862802"/>
          <c:h val="0.86331158744951897"/>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教育教学反馈!$A$383:$A$387</c:f>
              <c:strCache>
                <c:ptCount val="5"/>
                <c:pt idx="0">
                  <c:v>科技、工程相关比赛</c:v>
                </c:pt>
                <c:pt idx="1">
                  <c:v>课程设计</c:v>
                </c:pt>
                <c:pt idx="2">
                  <c:v>毕业论文、毕业设计</c:v>
                </c:pt>
                <c:pt idx="3">
                  <c:v>课程的实践性教学（课程作业、实验）</c:v>
                </c:pt>
                <c:pt idx="4">
                  <c:v>专业实习、见习</c:v>
                </c:pt>
              </c:strCache>
            </c:strRef>
          </c:cat>
          <c:val>
            <c:numRef>
              <c:f>教育教学反馈!$C$383:$C$387</c:f>
              <c:numCache>
                <c:formatCode>0.00%</c:formatCode>
                <c:ptCount val="5"/>
                <c:pt idx="0">
                  <c:v>0.1072</c:v>
                </c:pt>
                <c:pt idx="1">
                  <c:v>0.17760000000000001</c:v>
                </c:pt>
                <c:pt idx="2">
                  <c:v>0.1832</c:v>
                </c:pt>
                <c:pt idx="3">
                  <c:v>0.26069999999999999</c:v>
                </c:pt>
                <c:pt idx="4">
                  <c:v>0.27129999999999999</c:v>
                </c:pt>
              </c:numCache>
            </c:numRef>
          </c:val>
          <c:extLst>
            <c:ext xmlns:c16="http://schemas.microsoft.com/office/drawing/2014/chart" uri="{C3380CC4-5D6E-409C-BE32-E72D297353CC}">
              <c16:uniqueId val="{00000000-9140-184B-A512-C9115746E6B5}"/>
            </c:ext>
          </c:extLst>
        </c:ser>
        <c:dLbls>
          <c:showLegendKey val="0"/>
          <c:showVal val="1"/>
          <c:showCatName val="0"/>
          <c:showSerName val="0"/>
          <c:showPercent val="0"/>
          <c:showBubbleSize val="0"/>
        </c:dLbls>
        <c:gapWidth val="100"/>
        <c:axId val="264643328"/>
        <c:axId val="264644864"/>
      </c:barChart>
      <c:catAx>
        <c:axId val="2646433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644864"/>
        <c:crosses val="autoZero"/>
        <c:auto val="1"/>
        <c:lblAlgn val="ctr"/>
        <c:lblOffset val="100"/>
        <c:noMultiLvlLbl val="0"/>
      </c:catAx>
      <c:valAx>
        <c:axId val="264644864"/>
        <c:scaling>
          <c:orientation val="minMax"/>
        </c:scaling>
        <c:delete val="1"/>
        <c:axPos val="b"/>
        <c:numFmt formatCode="0.00%" sourceLinked="1"/>
        <c:majorTickMark val="none"/>
        <c:minorTickMark val="none"/>
        <c:tickLblPos val="nextTo"/>
        <c:crossAx val="26464332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教育教学反馈!$A$447:$A$454</c:f>
              <c:strCache>
                <c:ptCount val="8"/>
                <c:pt idx="0">
                  <c:v>就业心理辅导</c:v>
                </c:pt>
                <c:pt idx="1">
                  <c:v>职业咨询/辅导</c:v>
                </c:pt>
                <c:pt idx="2">
                  <c:v>就业指导课</c:v>
                </c:pt>
                <c:pt idx="3">
                  <c:v>就业困难群体帮扶</c:v>
                </c:pt>
                <c:pt idx="4">
                  <c:v>就业政策宣传与讲解</c:v>
                </c:pt>
                <c:pt idx="5">
                  <c:v>就业手续办理</c:v>
                </c:pt>
                <c:pt idx="6">
                  <c:v>校园招聘活动</c:v>
                </c:pt>
                <c:pt idx="7">
                  <c:v>就业信息提供与发布</c:v>
                </c:pt>
              </c:strCache>
            </c:strRef>
          </c:cat>
          <c:val>
            <c:numRef>
              <c:f>教育教学反馈!$B$447:$B$454</c:f>
              <c:numCache>
                <c:formatCode>General</c:formatCode>
                <c:ptCount val="8"/>
                <c:pt idx="0">
                  <c:v>3.68</c:v>
                </c:pt>
                <c:pt idx="1">
                  <c:v>3.72</c:v>
                </c:pt>
                <c:pt idx="2">
                  <c:v>3.82</c:v>
                </c:pt>
                <c:pt idx="3">
                  <c:v>3.84</c:v>
                </c:pt>
                <c:pt idx="4">
                  <c:v>3.84</c:v>
                </c:pt>
                <c:pt idx="5">
                  <c:v>3.92</c:v>
                </c:pt>
                <c:pt idx="6">
                  <c:v>4.0199999999999996</c:v>
                </c:pt>
                <c:pt idx="7">
                  <c:v>4.03</c:v>
                </c:pt>
              </c:numCache>
            </c:numRef>
          </c:val>
          <c:extLst>
            <c:ext xmlns:c16="http://schemas.microsoft.com/office/drawing/2014/chart" uri="{C3380CC4-5D6E-409C-BE32-E72D297353CC}">
              <c16:uniqueId val="{00000000-E478-C543-B0D5-5F740EB147F8}"/>
            </c:ext>
          </c:extLst>
        </c:ser>
        <c:dLbls>
          <c:showLegendKey val="0"/>
          <c:showVal val="1"/>
          <c:showCatName val="0"/>
          <c:showSerName val="0"/>
          <c:showPercent val="0"/>
          <c:showBubbleSize val="0"/>
        </c:dLbls>
        <c:gapWidth val="100"/>
        <c:axId val="264672768"/>
        <c:axId val="264674304"/>
      </c:barChart>
      <c:catAx>
        <c:axId val="2646727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674304"/>
        <c:crosses val="autoZero"/>
        <c:auto val="1"/>
        <c:lblAlgn val="ctr"/>
        <c:lblOffset val="100"/>
        <c:noMultiLvlLbl val="0"/>
      </c:catAx>
      <c:valAx>
        <c:axId val="264674304"/>
        <c:scaling>
          <c:orientation val="minMax"/>
        </c:scaling>
        <c:delete val="1"/>
        <c:axPos val="b"/>
        <c:numFmt formatCode="General" sourceLinked="1"/>
        <c:majorTickMark val="none"/>
        <c:minorTickMark val="none"/>
        <c:tickLblPos val="nextTo"/>
        <c:crossAx val="26467276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教育教学反馈!$A$465:$A$469</c:f>
              <c:strCache>
                <c:ptCount val="5"/>
                <c:pt idx="0">
                  <c:v>相关实践类活动太少</c:v>
                </c:pt>
                <c:pt idx="1">
                  <c:v>相关教育课程不足</c:v>
                </c:pt>
                <c:pt idx="2">
                  <c:v>教学方法太过陈旧</c:v>
                </c:pt>
                <c:pt idx="3">
                  <c:v>教师缺乏教学经验</c:v>
                </c:pt>
                <c:pt idx="4">
                  <c:v>课程学分</c:v>
                </c:pt>
              </c:strCache>
            </c:strRef>
          </c:cat>
          <c:val>
            <c:numRef>
              <c:f>教育教学反馈!$C$465:$C$469</c:f>
              <c:numCache>
                <c:formatCode>0.00%</c:formatCode>
                <c:ptCount val="5"/>
                <c:pt idx="0">
                  <c:v>0.3644</c:v>
                </c:pt>
                <c:pt idx="1">
                  <c:v>0.25969999999999999</c:v>
                </c:pt>
                <c:pt idx="2">
                  <c:v>0.21809999999999999</c:v>
                </c:pt>
                <c:pt idx="3">
                  <c:v>9.7900000000000001E-2</c:v>
                </c:pt>
                <c:pt idx="4">
                  <c:v>0.06</c:v>
                </c:pt>
              </c:numCache>
            </c:numRef>
          </c:val>
          <c:extLst>
            <c:ext xmlns:c16="http://schemas.microsoft.com/office/drawing/2014/chart" uri="{C3380CC4-5D6E-409C-BE32-E72D297353CC}">
              <c16:uniqueId val="{00000000-B6E7-EA4E-8A5F-3F5A59D171AE}"/>
            </c:ext>
          </c:extLst>
        </c:ser>
        <c:dLbls>
          <c:showLegendKey val="0"/>
          <c:showVal val="1"/>
          <c:showCatName val="0"/>
          <c:showSerName val="0"/>
          <c:showPercent val="0"/>
          <c:showBubbleSize val="0"/>
        </c:dLbls>
        <c:gapWidth val="150"/>
        <c:overlap val="-27"/>
        <c:axId val="264702208"/>
        <c:axId val="264712192"/>
      </c:barChart>
      <c:catAx>
        <c:axId val="264702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712192"/>
        <c:crosses val="autoZero"/>
        <c:auto val="1"/>
        <c:lblAlgn val="ctr"/>
        <c:lblOffset val="100"/>
        <c:noMultiLvlLbl val="0"/>
      </c:catAx>
      <c:valAx>
        <c:axId val="264712192"/>
        <c:scaling>
          <c:orientation val="minMax"/>
        </c:scaling>
        <c:delete val="1"/>
        <c:axPos val="l"/>
        <c:numFmt formatCode="0.00%" sourceLinked="1"/>
        <c:majorTickMark val="none"/>
        <c:minorTickMark val="none"/>
        <c:tickLblPos val="nextTo"/>
        <c:crossAx val="26470220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单位信息!$A$22:$A$27</c:f>
              <c:strCache>
                <c:ptCount val="6"/>
                <c:pt idx="0">
                  <c:v>1—49人</c:v>
                </c:pt>
                <c:pt idx="1">
                  <c:v>50—99人</c:v>
                </c:pt>
                <c:pt idx="2">
                  <c:v>100—499人</c:v>
                </c:pt>
                <c:pt idx="3">
                  <c:v>500—999人</c:v>
                </c:pt>
                <c:pt idx="4">
                  <c:v>1000-9999人</c:v>
                </c:pt>
                <c:pt idx="5">
                  <c:v>10000人以上</c:v>
                </c:pt>
              </c:strCache>
            </c:strRef>
          </c:cat>
          <c:val>
            <c:numRef>
              <c:f>单位信息!$C$22:$C$27</c:f>
              <c:numCache>
                <c:formatCode>0.00%</c:formatCode>
                <c:ptCount val="6"/>
                <c:pt idx="0">
                  <c:v>4.0800000000000003E-2</c:v>
                </c:pt>
                <c:pt idx="1">
                  <c:v>6.7500000000000004E-2</c:v>
                </c:pt>
                <c:pt idx="2">
                  <c:v>0.2152</c:v>
                </c:pt>
                <c:pt idx="3">
                  <c:v>0.1421</c:v>
                </c:pt>
                <c:pt idx="4">
                  <c:v>0.36009999999999998</c:v>
                </c:pt>
                <c:pt idx="5">
                  <c:v>0.1744</c:v>
                </c:pt>
              </c:numCache>
            </c:numRef>
          </c:val>
          <c:extLst>
            <c:ext xmlns:c16="http://schemas.microsoft.com/office/drawing/2014/chart" uri="{C3380CC4-5D6E-409C-BE32-E72D297353CC}">
              <c16:uniqueId val="{00000000-B893-424C-B702-7FCB469820FC}"/>
            </c:ext>
          </c:extLst>
        </c:ser>
        <c:dLbls>
          <c:showLegendKey val="0"/>
          <c:showVal val="1"/>
          <c:showCatName val="0"/>
          <c:showSerName val="0"/>
          <c:showPercent val="0"/>
          <c:showBubbleSize val="0"/>
        </c:dLbls>
        <c:gapWidth val="150"/>
        <c:overlap val="-27"/>
        <c:axId val="240278528"/>
        <c:axId val="240296704"/>
      </c:barChart>
      <c:catAx>
        <c:axId val="24027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40296704"/>
        <c:crosses val="autoZero"/>
        <c:auto val="1"/>
        <c:lblAlgn val="ctr"/>
        <c:lblOffset val="100"/>
        <c:noMultiLvlLbl val="0"/>
      </c:catAx>
      <c:valAx>
        <c:axId val="240296704"/>
        <c:scaling>
          <c:orientation val="minMax"/>
        </c:scaling>
        <c:delete val="1"/>
        <c:axPos val="l"/>
        <c:numFmt formatCode="0.00%" sourceLinked="1"/>
        <c:majorTickMark val="none"/>
        <c:minorTickMark val="none"/>
        <c:tickLblPos val="nextTo"/>
        <c:crossAx val="24027852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655168566036499"/>
          <c:y val="5.2757793764988001E-2"/>
          <c:w val="0.72500715599089804"/>
          <c:h val="0.89448441247002397"/>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单位信息!$A$2:$A$9</c:f>
              <c:strCache>
                <c:ptCount val="8"/>
                <c:pt idx="0">
                  <c:v>科研设计单位</c:v>
                </c:pt>
                <c:pt idx="1">
                  <c:v>机关</c:v>
                </c:pt>
                <c:pt idx="2">
                  <c:v>高等学校</c:v>
                </c:pt>
                <c:pt idx="3">
                  <c:v>其他事业单位</c:v>
                </c:pt>
                <c:pt idx="4">
                  <c:v>其他教学单位</c:v>
                </c:pt>
                <c:pt idx="5">
                  <c:v>三资企业</c:v>
                </c:pt>
                <c:pt idx="6">
                  <c:v>国有企业</c:v>
                </c:pt>
                <c:pt idx="7">
                  <c:v>民营企业</c:v>
                </c:pt>
              </c:strCache>
            </c:strRef>
          </c:cat>
          <c:val>
            <c:numRef>
              <c:f>单位信息!$C$2:$C$9</c:f>
              <c:numCache>
                <c:formatCode>0.00%</c:formatCode>
                <c:ptCount val="8"/>
                <c:pt idx="0">
                  <c:v>4.1999999999999997E-3</c:v>
                </c:pt>
                <c:pt idx="1">
                  <c:v>8.3999999999999995E-3</c:v>
                </c:pt>
                <c:pt idx="2">
                  <c:v>9.8000000000000101E-3</c:v>
                </c:pt>
                <c:pt idx="3">
                  <c:v>1.6899999999999998E-2</c:v>
                </c:pt>
                <c:pt idx="4">
                  <c:v>4.3499999999999997E-2</c:v>
                </c:pt>
                <c:pt idx="5">
                  <c:v>8.7099999999999997E-2</c:v>
                </c:pt>
                <c:pt idx="6">
                  <c:v>0.26400000000000001</c:v>
                </c:pt>
                <c:pt idx="7">
                  <c:v>0.56599999999999995</c:v>
                </c:pt>
              </c:numCache>
            </c:numRef>
          </c:val>
          <c:extLst>
            <c:ext xmlns:c16="http://schemas.microsoft.com/office/drawing/2014/chart" uri="{C3380CC4-5D6E-409C-BE32-E72D297353CC}">
              <c16:uniqueId val="{00000000-1296-CE42-99C1-6429EAD02E33}"/>
            </c:ext>
          </c:extLst>
        </c:ser>
        <c:dLbls>
          <c:showLegendKey val="0"/>
          <c:showVal val="1"/>
          <c:showCatName val="0"/>
          <c:showSerName val="0"/>
          <c:showPercent val="0"/>
          <c:showBubbleSize val="0"/>
        </c:dLbls>
        <c:gapWidth val="100"/>
        <c:axId val="264740864"/>
        <c:axId val="264742400"/>
      </c:barChart>
      <c:catAx>
        <c:axId val="2647408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742400"/>
        <c:crosses val="autoZero"/>
        <c:auto val="1"/>
        <c:lblAlgn val="ctr"/>
        <c:lblOffset val="100"/>
        <c:noMultiLvlLbl val="0"/>
      </c:catAx>
      <c:valAx>
        <c:axId val="264742400"/>
        <c:scaling>
          <c:orientation val="minMax"/>
        </c:scaling>
        <c:delete val="1"/>
        <c:axPos val="b"/>
        <c:numFmt formatCode="0.00%" sourceLinked="1"/>
        <c:majorTickMark val="out"/>
        <c:minorTickMark val="none"/>
        <c:tickLblPos val="nextTo"/>
        <c:crossAx val="264740864"/>
        <c:crosses val="autoZero"/>
        <c:crossBetween val="between"/>
      </c:valAx>
      <c:spPr>
        <a:noFill/>
        <a:ln w="25400">
          <a:noFill/>
        </a:ln>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9347857824056698"/>
          <c:y val="4.3912175648702603E-2"/>
          <c:w val="0.48824813103515002"/>
          <c:h val="0.91217564870259504"/>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单位信息!$A$46:$A$55</c:f>
              <c:strCache>
                <c:ptCount val="10"/>
                <c:pt idx="0">
                  <c:v>农、林、渔、牧业</c:v>
                </c:pt>
                <c:pt idx="1">
                  <c:v>电力、热力、燃气及水生产和供应业</c:v>
                </c:pt>
                <c:pt idx="2">
                  <c:v>交通运输、仓储和邮政业</c:v>
                </c:pt>
                <c:pt idx="3">
                  <c:v>房地产业</c:v>
                </c:pt>
                <c:pt idx="4">
                  <c:v>建筑业</c:v>
                </c:pt>
                <c:pt idx="5">
                  <c:v>教育</c:v>
                </c:pt>
                <c:pt idx="6">
                  <c:v>信息传输、软件和信息技术服务业</c:v>
                </c:pt>
                <c:pt idx="7">
                  <c:v>批发和零售业</c:v>
                </c:pt>
                <c:pt idx="8">
                  <c:v>制造业</c:v>
                </c:pt>
                <c:pt idx="9">
                  <c:v>金融业</c:v>
                </c:pt>
              </c:strCache>
            </c:strRef>
          </c:cat>
          <c:val>
            <c:numRef>
              <c:f>单位信息!$C$46:$C$55</c:f>
              <c:numCache>
                <c:formatCode>0.00%</c:formatCode>
                <c:ptCount val="10"/>
                <c:pt idx="0">
                  <c:v>2.5399999999999999E-2</c:v>
                </c:pt>
                <c:pt idx="1">
                  <c:v>2.6800000000000001E-2</c:v>
                </c:pt>
                <c:pt idx="2">
                  <c:v>2.9600000000000001E-2</c:v>
                </c:pt>
                <c:pt idx="3">
                  <c:v>6.6199999999999995E-2</c:v>
                </c:pt>
                <c:pt idx="4">
                  <c:v>6.7599999999999993E-2</c:v>
                </c:pt>
                <c:pt idx="5">
                  <c:v>9.01E-2</c:v>
                </c:pt>
                <c:pt idx="6">
                  <c:v>0.11269999999999999</c:v>
                </c:pt>
                <c:pt idx="7">
                  <c:v>0.1169</c:v>
                </c:pt>
                <c:pt idx="8">
                  <c:v>0.17319999999999999</c:v>
                </c:pt>
                <c:pt idx="9">
                  <c:v>0.18729999999999999</c:v>
                </c:pt>
              </c:numCache>
            </c:numRef>
          </c:val>
          <c:extLst>
            <c:ext xmlns:c16="http://schemas.microsoft.com/office/drawing/2014/chart" uri="{C3380CC4-5D6E-409C-BE32-E72D297353CC}">
              <c16:uniqueId val="{00000000-1082-444D-BBD7-220F629AEB4A}"/>
            </c:ext>
          </c:extLst>
        </c:ser>
        <c:dLbls>
          <c:showLegendKey val="0"/>
          <c:showVal val="1"/>
          <c:showCatName val="0"/>
          <c:showSerName val="0"/>
          <c:showPercent val="0"/>
          <c:showBubbleSize val="0"/>
        </c:dLbls>
        <c:gapWidth val="100"/>
        <c:axId val="264753920"/>
        <c:axId val="264755456"/>
      </c:barChart>
      <c:catAx>
        <c:axId val="2647539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755456"/>
        <c:crosses val="autoZero"/>
        <c:auto val="1"/>
        <c:lblAlgn val="ctr"/>
        <c:lblOffset val="100"/>
        <c:noMultiLvlLbl val="0"/>
      </c:catAx>
      <c:valAx>
        <c:axId val="264755456"/>
        <c:scaling>
          <c:orientation val="minMax"/>
        </c:scaling>
        <c:delete val="1"/>
        <c:axPos val="b"/>
        <c:numFmt formatCode="0.00%" sourceLinked="1"/>
        <c:majorTickMark val="none"/>
        <c:minorTickMark val="none"/>
        <c:tickLblPos val="nextTo"/>
        <c:crossAx val="26475392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2709389409205802"/>
          <c:y val="4.3912175648702603E-2"/>
          <c:w val="0.63637658405181996"/>
          <c:h val="0.91217564870259504"/>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单位信息!$A$64:$A$71</c:f>
              <c:strCache>
                <c:ptCount val="8"/>
                <c:pt idx="0">
                  <c:v>东北地区</c:v>
                </c:pt>
                <c:pt idx="1">
                  <c:v>西部地区</c:v>
                </c:pt>
                <c:pt idx="2">
                  <c:v>京津冀地区</c:v>
                </c:pt>
                <c:pt idx="3">
                  <c:v>中部地区（不含江西省）</c:v>
                </c:pt>
                <c:pt idx="4">
                  <c:v>其他地区</c:v>
                </c:pt>
                <c:pt idx="5">
                  <c:v>长三角地区</c:v>
                </c:pt>
                <c:pt idx="6">
                  <c:v>江西省内</c:v>
                </c:pt>
                <c:pt idx="7">
                  <c:v>珠三角地区</c:v>
                </c:pt>
              </c:strCache>
            </c:strRef>
          </c:cat>
          <c:val>
            <c:numRef>
              <c:f>单位信息!$C$64:$C$71</c:f>
              <c:numCache>
                <c:formatCode>0.00%</c:formatCode>
                <c:ptCount val="8"/>
                <c:pt idx="0">
                  <c:v>8.3999999999999995E-3</c:v>
                </c:pt>
                <c:pt idx="1">
                  <c:v>2.1100000000000001E-2</c:v>
                </c:pt>
                <c:pt idx="2">
                  <c:v>3.9399999999999998E-2</c:v>
                </c:pt>
                <c:pt idx="3">
                  <c:v>6.6100000000000006E-2</c:v>
                </c:pt>
                <c:pt idx="4">
                  <c:v>8.4400000000000003E-2</c:v>
                </c:pt>
                <c:pt idx="5">
                  <c:v>0.2082</c:v>
                </c:pt>
                <c:pt idx="6">
                  <c:v>0.28549999999999998</c:v>
                </c:pt>
                <c:pt idx="7">
                  <c:v>0.28689999999999999</c:v>
                </c:pt>
              </c:numCache>
            </c:numRef>
          </c:val>
          <c:extLst>
            <c:ext xmlns:c16="http://schemas.microsoft.com/office/drawing/2014/chart" uri="{C3380CC4-5D6E-409C-BE32-E72D297353CC}">
              <c16:uniqueId val="{00000000-6416-254B-A3D6-F434B2697B7A}"/>
            </c:ext>
          </c:extLst>
        </c:ser>
        <c:dLbls>
          <c:showLegendKey val="0"/>
          <c:showVal val="1"/>
          <c:showCatName val="0"/>
          <c:showSerName val="0"/>
          <c:showPercent val="0"/>
          <c:showBubbleSize val="0"/>
        </c:dLbls>
        <c:gapWidth val="100"/>
        <c:axId val="264803840"/>
        <c:axId val="264805376"/>
      </c:barChart>
      <c:catAx>
        <c:axId val="264803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805376"/>
        <c:crosses val="autoZero"/>
        <c:auto val="1"/>
        <c:lblAlgn val="ctr"/>
        <c:lblOffset val="100"/>
        <c:noMultiLvlLbl val="0"/>
      </c:catAx>
      <c:valAx>
        <c:axId val="264805376"/>
        <c:scaling>
          <c:orientation val="minMax"/>
        </c:scaling>
        <c:delete val="1"/>
        <c:axPos val="b"/>
        <c:numFmt formatCode="0.00%" sourceLinked="1"/>
        <c:majorTickMark val="none"/>
        <c:minorTickMark val="none"/>
        <c:tickLblPos val="nextTo"/>
        <c:crossAx val="26480384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CC0E2C">
                  <a:alpha val="20000"/>
                </a:srgbClr>
              </a:solidFill>
              <a:ln w="19050">
                <a:solidFill>
                  <a:schemeClr val="lt1"/>
                </a:solidFill>
              </a:ln>
              <a:effectLst/>
            </c:spPr>
          </c:dPt>
          <c:dLbls>
            <c:dLbl>
              <c:idx val="3"/>
              <c:layout>
                <c:manualLayout>
                  <c:x val="5.5555555555555601E-2"/>
                  <c:y val="0"/>
                </c:manualLayout>
              </c:layout>
              <c:tx>
                <c:rich>
                  <a:bodyPr/>
                  <a:lstStyle/>
                  <a:p>
                    <a:fld id="{D85095EF-398A-41C2-8673-2D44689D5512}" type="CATEGORYNAME">
                      <a:rPr lang="zh-CN" altLang="en-US"/>
                      <a:pPr/>
                      <a:t>[类别名称]</a:t>
                    </a:fld>
                    <a:r>
                      <a:t>,</a:t>
                    </a:r>
                    <a:fld id="{EC2D08B6-A28F-4C6E-8707-86895400F06F}" type="VALUE">
                      <a:rPr lang="zh-CN" altLang="en-US"/>
                      <a:pPr/>
                      <a:t>[值]</a:t>
                    </a:fld>
                    <a:endParaRPr/>
                  </a:p>
                </c:rich>
              </c:tx>
              <c:dLblPos val="bestFit"/>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单位信息!$A$87:$A$90</c:f>
              <c:strCache>
                <c:ptCount val="4"/>
                <c:pt idx="0">
                  <c:v>省会城市/直辖市</c:v>
                </c:pt>
                <c:pt idx="1">
                  <c:v>地级城市</c:v>
                </c:pt>
                <c:pt idx="2">
                  <c:v>县城城市</c:v>
                </c:pt>
                <c:pt idx="3">
                  <c:v>乡镇</c:v>
                </c:pt>
              </c:strCache>
            </c:strRef>
          </c:cat>
          <c:val>
            <c:numRef>
              <c:f>单位信息!$C$87:$C$90</c:f>
              <c:numCache>
                <c:formatCode>0.00%</c:formatCode>
                <c:ptCount val="4"/>
                <c:pt idx="0">
                  <c:v>0.70279999999999998</c:v>
                </c:pt>
                <c:pt idx="1">
                  <c:v>0.25069999999999998</c:v>
                </c:pt>
                <c:pt idx="2">
                  <c:v>4.2299999999999997E-2</c:v>
                </c:pt>
                <c:pt idx="3">
                  <c:v>4.1999999999999997E-3</c:v>
                </c:pt>
              </c:numCache>
            </c:numRef>
          </c:val>
          <c:extLst>
            <c:ext xmlns:c16="http://schemas.microsoft.com/office/drawing/2014/chart" uri="{C3380CC4-5D6E-409C-BE32-E72D297353CC}">
              <c16:uniqueId val="{00000000-26F3-4441-BB96-899B587C9E27}"/>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招聘!$A$2:$A$8</c:f>
              <c:strCache>
                <c:ptCount val="7"/>
                <c:pt idx="0">
                  <c:v>其他方式</c:v>
                </c:pt>
                <c:pt idx="1">
                  <c:v>学生自荐</c:v>
                </c:pt>
                <c:pt idx="2">
                  <c:v>单位员工内推</c:v>
                </c:pt>
                <c:pt idx="3">
                  <c:v>社会网络招聘</c:v>
                </c:pt>
                <c:pt idx="4">
                  <c:v>校园网络招聘</c:v>
                </c:pt>
                <c:pt idx="5">
                  <c:v>大型双选会</c:v>
                </c:pt>
                <c:pt idx="6">
                  <c:v>校园专场宣讲会</c:v>
                </c:pt>
              </c:strCache>
            </c:strRef>
          </c:cat>
          <c:val>
            <c:numRef>
              <c:f>招聘!$C$2:$C$8</c:f>
              <c:numCache>
                <c:formatCode>0.00%</c:formatCode>
                <c:ptCount val="7"/>
                <c:pt idx="0">
                  <c:v>2.57009345794393E-2</c:v>
                </c:pt>
                <c:pt idx="1">
                  <c:v>5.2570093457943903E-2</c:v>
                </c:pt>
                <c:pt idx="2">
                  <c:v>5.8411214953271097E-2</c:v>
                </c:pt>
                <c:pt idx="3">
                  <c:v>0.13025700934579401</c:v>
                </c:pt>
                <c:pt idx="4">
                  <c:v>0.22137850467289699</c:v>
                </c:pt>
                <c:pt idx="5">
                  <c:v>0.23539719626168201</c:v>
                </c:pt>
                <c:pt idx="6">
                  <c:v>0.27628504672897197</c:v>
                </c:pt>
              </c:numCache>
            </c:numRef>
          </c:val>
          <c:extLst>
            <c:ext xmlns:c16="http://schemas.microsoft.com/office/drawing/2014/chart" uri="{C3380CC4-5D6E-409C-BE32-E72D297353CC}">
              <c16:uniqueId val="{00000000-40E2-BE45-9F62-8A2DE341E8A6}"/>
            </c:ext>
          </c:extLst>
        </c:ser>
        <c:dLbls>
          <c:showLegendKey val="0"/>
          <c:showVal val="1"/>
          <c:showCatName val="0"/>
          <c:showSerName val="0"/>
          <c:showPercent val="0"/>
          <c:showBubbleSize val="0"/>
        </c:dLbls>
        <c:gapWidth val="100"/>
        <c:axId val="264893952"/>
        <c:axId val="264895488"/>
      </c:barChart>
      <c:catAx>
        <c:axId val="2648939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895488"/>
        <c:crosses val="autoZero"/>
        <c:auto val="1"/>
        <c:lblAlgn val="ctr"/>
        <c:lblOffset val="100"/>
        <c:noMultiLvlLbl val="0"/>
      </c:catAx>
      <c:valAx>
        <c:axId val="264895488"/>
        <c:scaling>
          <c:orientation val="minMax"/>
        </c:scaling>
        <c:delete val="1"/>
        <c:axPos val="b"/>
        <c:numFmt formatCode="0.00%" sourceLinked="1"/>
        <c:majorTickMark val="none"/>
        <c:minorTickMark val="none"/>
        <c:tickLblPos val="nextTo"/>
        <c:crossAx val="26489395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2138868591122601"/>
          <c:y val="5.7636887608069197E-2"/>
          <c:w val="0.71790012588409102"/>
          <c:h val="0.88472622478386198"/>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招聘!$A$21:$A$27</c:f>
              <c:strCache>
                <c:ptCount val="7"/>
                <c:pt idx="0">
                  <c:v>其他方式</c:v>
                </c:pt>
                <c:pt idx="1">
                  <c:v>学生自荐</c:v>
                </c:pt>
                <c:pt idx="2">
                  <c:v>单位员工内推</c:v>
                </c:pt>
                <c:pt idx="3">
                  <c:v>社会网络招聘</c:v>
                </c:pt>
                <c:pt idx="4">
                  <c:v>校园网络招聘</c:v>
                </c:pt>
                <c:pt idx="5">
                  <c:v>大型双选会</c:v>
                </c:pt>
                <c:pt idx="6">
                  <c:v>校园专场宣讲会</c:v>
                </c:pt>
              </c:strCache>
            </c:strRef>
          </c:cat>
          <c:val>
            <c:numRef>
              <c:f>招聘!$C$21:$C$27</c:f>
              <c:numCache>
                <c:formatCode>0.00%</c:formatCode>
                <c:ptCount val="7"/>
                <c:pt idx="0">
                  <c:v>8.1300813008130107E-3</c:v>
                </c:pt>
                <c:pt idx="1">
                  <c:v>6.1288305190744199E-2</c:v>
                </c:pt>
                <c:pt idx="2">
                  <c:v>7.9424640400250199E-2</c:v>
                </c:pt>
                <c:pt idx="3">
                  <c:v>9.3183239524702893E-2</c:v>
                </c:pt>
                <c:pt idx="4">
                  <c:v>0.18073796122576599</c:v>
                </c:pt>
                <c:pt idx="5">
                  <c:v>0.25390869293308299</c:v>
                </c:pt>
                <c:pt idx="6">
                  <c:v>0.32332707942464101</c:v>
                </c:pt>
              </c:numCache>
            </c:numRef>
          </c:val>
          <c:extLst>
            <c:ext xmlns:c16="http://schemas.microsoft.com/office/drawing/2014/chart" uri="{C3380CC4-5D6E-409C-BE32-E72D297353CC}">
              <c16:uniqueId val="{00000000-9E1B-1247-AA36-FCE6313B8E7B}"/>
            </c:ext>
          </c:extLst>
        </c:ser>
        <c:dLbls>
          <c:showLegendKey val="0"/>
          <c:showVal val="1"/>
          <c:showCatName val="0"/>
          <c:showSerName val="0"/>
          <c:showPercent val="0"/>
          <c:showBubbleSize val="0"/>
        </c:dLbls>
        <c:gapWidth val="100"/>
        <c:axId val="264911104"/>
        <c:axId val="264925184"/>
      </c:barChart>
      <c:catAx>
        <c:axId val="2649111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925184"/>
        <c:crosses val="autoZero"/>
        <c:auto val="1"/>
        <c:lblAlgn val="ctr"/>
        <c:lblOffset val="100"/>
        <c:noMultiLvlLbl val="0"/>
      </c:catAx>
      <c:valAx>
        <c:axId val="264925184"/>
        <c:scaling>
          <c:orientation val="minMax"/>
        </c:scaling>
        <c:delete val="1"/>
        <c:axPos val="b"/>
        <c:numFmt formatCode="0.00%" sourceLinked="1"/>
        <c:majorTickMark val="none"/>
        <c:minorTickMark val="none"/>
        <c:tickLblPos val="nextTo"/>
        <c:crossAx val="26491110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招聘!$A$38:$A$45</c:f>
              <c:strCache>
                <c:ptCount val="8"/>
                <c:pt idx="0">
                  <c:v>其他</c:v>
                </c:pt>
                <c:pt idx="1">
                  <c:v>学校声誉</c:v>
                </c:pt>
                <c:pt idx="2">
                  <c:v>与工作相关的资格证书/竞赛获奖</c:v>
                </c:pt>
                <c:pt idx="3">
                  <c:v>有相关职位的实习经历</c:v>
                </c:pt>
                <c:pt idx="4">
                  <c:v>符合本单位职场文化和价值观</c:v>
                </c:pt>
                <c:pt idx="5">
                  <c:v>能力和知识结构合理</c:v>
                </c:pt>
                <c:pt idx="6">
                  <c:v>专业对口</c:v>
                </c:pt>
                <c:pt idx="7">
                  <c:v>综合素质</c:v>
                </c:pt>
              </c:strCache>
            </c:strRef>
          </c:cat>
          <c:val>
            <c:numRef>
              <c:f>招聘!$C$38:$C$45</c:f>
              <c:numCache>
                <c:formatCode>0.00%</c:formatCode>
                <c:ptCount val="8"/>
                <c:pt idx="0">
                  <c:v>8.2135523613963007E-3</c:v>
                </c:pt>
                <c:pt idx="1">
                  <c:v>6.7542213883677399E-2</c:v>
                </c:pt>
                <c:pt idx="2">
                  <c:v>9.0681676047529705E-2</c:v>
                </c:pt>
                <c:pt idx="3">
                  <c:v>0.15196998123827399</c:v>
                </c:pt>
                <c:pt idx="4">
                  <c:v>0.155722326454034</c:v>
                </c:pt>
                <c:pt idx="5">
                  <c:v>0.23389618511569699</c:v>
                </c:pt>
                <c:pt idx="6">
                  <c:v>0.23639774859287099</c:v>
                </c:pt>
                <c:pt idx="7">
                  <c:v>0.27204502814258902</c:v>
                </c:pt>
              </c:numCache>
            </c:numRef>
          </c:val>
          <c:extLst>
            <c:ext xmlns:c16="http://schemas.microsoft.com/office/drawing/2014/chart" uri="{C3380CC4-5D6E-409C-BE32-E72D297353CC}">
              <c16:uniqueId val="{00000000-BB31-0D45-A1F3-B934636337FA}"/>
            </c:ext>
          </c:extLst>
        </c:ser>
        <c:dLbls>
          <c:showLegendKey val="0"/>
          <c:showVal val="1"/>
          <c:showCatName val="0"/>
          <c:showSerName val="0"/>
          <c:showPercent val="0"/>
          <c:showBubbleSize val="0"/>
        </c:dLbls>
        <c:gapWidth val="100"/>
        <c:axId val="264973312"/>
        <c:axId val="264979200"/>
      </c:barChart>
      <c:catAx>
        <c:axId val="2649733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4979200"/>
        <c:crosses val="autoZero"/>
        <c:auto val="1"/>
        <c:lblAlgn val="ctr"/>
        <c:lblOffset val="100"/>
        <c:noMultiLvlLbl val="0"/>
      </c:catAx>
      <c:valAx>
        <c:axId val="264979200"/>
        <c:scaling>
          <c:orientation val="minMax"/>
        </c:scaling>
        <c:delete val="1"/>
        <c:axPos val="b"/>
        <c:numFmt formatCode="0.00%" sourceLinked="1"/>
        <c:majorTickMark val="none"/>
        <c:minorTickMark val="none"/>
        <c:tickLblPos val="nextTo"/>
        <c:crossAx val="26497331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招聘!$A$55:$A$63</c:f>
              <c:strCache>
                <c:ptCount val="9"/>
                <c:pt idx="0">
                  <c:v>3000元以下</c:v>
                </c:pt>
                <c:pt idx="1">
                  <c:v>3001-4000元</c:v>
                </c:pt>
                <c:pt idx="2">
                  <c:v>4001-5000元</c:v>
                </c:pt>
                <c:pt idx="3">
                  <c:v>5001-6000元</c:v>
                </c:pt>
                <c:pt idx="4">
                  <c:v>6001-7000元</c:v>
                </c:pt>
                <c:pt idx="5">
                  <c:v>7001-8000元</c:v>
                </c:pt>
                <c:pt idx="6">
                  <c:v>8001-9000元</c:v>
                </c:pt>
                <c:pt idx="7">
                  <c:v>9001-10000元</c:v>
                </c:pt>
                <c:pt idx="8">
                  <c:v>10001元以上</c:v>
                </c:pt>
              </c:strCache>
            </c:strRef>
          </c:cat>
          <c:val>
            <c:numRef>
              <c:f>招聘!$C$55:$C$63</c:f>
              <c:numCache>
                <c:formatCode>0.00%</c:formatCode>
                <c:ptCount val="9"/>
                <c:pt idx="0">
                  <c:v>2.8E-3</c:v>
                </c:pt>
                <c:pt idx="1">
                  <c:v>5.0299999999999997E-2</c:v>
                </c:pt>
                <c:pt idx="2">
                  <c:v>0.1888</c:v>
                </c:pt>
                <c:pt idx="3">
                  <c:v>0.26290000000000002</c:v>
                </c:pt>
                <c:pt idx="4">
                  <c:v>0.17480000000000001</c:v>
                </c:pt>
                <c:pt idx="5">
                  <c:v>0.1273</c:v>
                </c:pt>
                <c:pt idx="6">
                  <c:v>8.8100000000000095E-2</c:v>
                </c:pt>
                <c:pt idx="7">
                  <c:v>4.6199999999999998E-2</c:v>
                </c:pt>
                <c:pt idx="8">
                  <c:v>5.8700000000000002E-2</c:v>
                </c:pt>
              </c:numCache>
            </c:numRef>
          </c:val>
          <c:extLst>
            <c:ext xmlns:c16="http://schemas.microsoft.com/office/drawing/2014/chart" uri="{C3380CC4-5D6E-409C-BE32-E72D297353CC}">
              <c16:uniqueId val="{00000000-DA0B-5943-B1CF-DA5ECC072BC8}"/>
            </c:ext>
          </c:extLst>
        </c:ser>
        <c:dLbls>
          <c:showLegendKey val="0"/>
          <c:showVal val="1"/>
          <c:showCatName val="0"/>
          <c:showSerName val="0"/>
          <c:showPercent val="0"/>
          <c:showBubbleSize val="0"/>
        </c:dLbls>
        <c:gapWidth val="100"/>
        <c:axId val="265003008"/>
        <c:axId val="265004544"/>
      </c:barChart>
      <c:catAx>
        <c:axId val="2650030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004544"/>
        <c:crosses val="autoZero"/>
        <c:auto val="1"/>
        <c:lblAlgn val="ctr"/>
        <c:lblOffset val="100"/>
        <c:noMultiLvlLbl val="0"/>
      </c:catAx>
      <c:valAx>
        <c:axId val="265004544"/>
        <c:scaling>
          <c:orientation val="minMax"/>
        </c:scaling>
        <c:delete val="1"/>
        <c:axPos val="b"/>
        <c:numFmt formatCode="0.00%" sourceLinked="1"/>
        <c:majorTickMark val="none"/>
        <c:minorTickMark val="none"/>
        <c:tickLblPos val="nextTo"/>
        <c:crossAx val="26500300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招聘!$A$75:$A$80</c:f>
              <c:strCache>
                <c:ptCount val="6"/>
                <c:pt idx="0">
                  <c:v>10人以下</c:v>
                </c:pt>
                <c:pt idx="1">
                  <c:v>11—20人</c:v>
                </c:pt>
                <c:pt idx="2">
                  <c:v>21—30人</c:v>
                </c:pt>
                <c:pt idx="3">
                  <c:v>31—40人</c:v>
                </c:pt>
                <c:pt idx="4">
                  <c:v>41—50人</c:v>
                </c:pt>
                <c:pt idx="5">
                  <c:v>50人以上</c:v>
                </c:pt>
              </c:strCache>
            </c:strRef>
          </c:cat>
          <c:val>
            <c:numRef>
              <c:f>招聘!$C$75:$C$80</c:f>
              <c:numCache>
                <c:formatCode>0.00%</c:formatCode>
                <c:ptCount val="6"/>
                <c:pt idx="0">
                  <c:v>0.22969999999999999</c:v>
                </c:pt>
                <c:pt idx="1">
                  <c:v>0.3473</c:v>
                </c:pt>
                <c:pt idx="2">
                  <c:v>0.1457</c:v>
                </c:pt>
                <c:pt idx="3">
                  <c:v>7.0000000000000007E-2</c:v>
                </c:pt>
                <c:pt idx="4">
                  <c:v>4.2000000000000003E-2</c:v>
                </c:pt>
                <c:pt idx="5">
                  <c:v>0.1653</c:v>
                </c:pt>
              </c:numCache>
            </c:numRef>
          </c:val>
          <c:extLst>
            <c:ext xmlns:c16="http://schemas.microsoft.com/office/drawing/2014/chart" uri="{C3380CC4-5D6E-409C-BE32-E72D297353CC}">
              <c16:uniqueId val="{00000000-1898-3B48-9D25-95391D58DD78}"/>
            </c:ext>
          </c:extLst>
        </c:ser>
        <c:dLbls>
          <c:showLegendKey val="0"/>
          <c:showVal val="1"/>
          <c:showCatName val="0"/>
          <c:showSerName val="0"/>
          <c:showPercent val="0"/>
          <c:showBubbleSize val="0"/>
        </c:dLbls>
        <c:gapWidth val="150"/>
        <c:overlap val="-27"/>
        <c:axId val="265106176"/>
        <c:axId val="265107712"/>
      </c:barChart>
      <c:catAx>
        <c:axId val="265106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107712"/>
        <c:crosses val="autoZero"/>
        <c:auto val="1"/>
        <c:lblAlgn val="ctr"/>
        <c:lblOffset val="100"/>
        <c:noMultiLvlLbl val="0"/>
      </c:catAx>
      <c:valAx>
        <c:axId val="265107712"/>
        <c:scaling>
          <c:orientation val="minMax"/>
        </c:scaling>
        <c:delete val="1"/>
        <c:axPos val="l"/>
        <c:numFmt formatCode="0.00%" sourceLinked="1"/>
        <c:majorTickMark val="none"/>
        <c:minorTickMark val="none"/>
        <c:tickLblPos val="nextTo"/>
        <c:crossAx val="26510617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招聘!$A$131:$A$140</c:f>
              <c:strCache>
                <c:ptCount val="10"/>
                <c:pt idx="0">
                  <c:v>电子商务</c:v>
                </c:pt>
                <c:pt idx="1">
                  <c:v>经济统计学</c:v>
                </c:pt>
                <c:pt idx="2">
                  <c:v>国际经济与贸易</c:v>
                </c:pt>
                <c:pt idx="3">
                  <c:v>人力资源管理</c:v>
                </c:pt>
                <c:pt idx="4">
                  <c:v>工商管理</c:v>
                </c:pt>
                <c:pt idx="5">
                  <c:v>市场营销</c:v>
                </c:pt>
                <c:pt idx="6">
                  <c:v>经济学</c:v>
                </c:pt>
                <c:pt idx="7">
                  <c:v>金融学</c:v>
                </c:pt>
                <c:pt idx="8">
                  <c:v>财务管理</c:v>
                </c:pt>
                <c:pt idx="9">
                  <c:v>会计学</c:v>
                </c:pt>
              </c:strCache>
            </c:strRef>
          </c:cat>
          <c:val>
            <c:numRef>
              <c:f>招聘!$C$131:$C$140</c:f>
              <c:numCache>
                <c:formatCode>0.00%</c:formatCode>
                <c:ptCount val="10"/>
                <c:pt idx="0">
                  <c:v>3.4154351395730698E-2</c:v>
                </c:pt>
                <c:pt idx="1">
                  <c:v>3.5139573070607603E-2</c:v>
                </c:pt>
                <c:pt idx="2">
                  <c:v>3.77668308702791E-2</c:v>
                </c:pt>
                <c:pt idx="3">
                  <c:v>3.8423645320197E-2</c:v>
                </c:pt>
                <c:pt idx="4">
                  <c:v>5.6814449917898302E-2</c:v>
                </c:pt>
                <c:pt idx="5">
                  <c:v>5.7799671592775E-2</c:v>
                </c:pt>
                <c:pt idx="6">
                  <c:v>6.7651888341543495E-2</c:v>
                </c:pt>
                <c:pt idx="7">
                  <c:v>6.9293924466338405E-2</c:v>
                </c:pt>
                <c:pt idx="8">
                  <c:v>9.2610837438423604E-2</c:v>
                </c:pt>
                <c:pt idx="9">
                  <c:v>0.10016420361247901</c:v>
                </c:pt>
              </c:numCache>
            </c:numRef>
          </c:val>
          <c:extLst>
            <c:ext xmlns:c16="http://schemas.microsoft.com/office/drawing/2014/chart" uri="{C3380CC4-5D6E-409C-BE32-E72D297353CC}">
              <c16:uniqueId val="{00000000-90EE-8345-9085-9754AB4BDCD4}"/>
            </c:ext>
          </c:extLst>
        </c:ser>
        <c:dLbls>
          <c:showLegendKey val="0"/>
          <c:showVal val="1"/>
          <c:showCatName val="0"/>
          <c:showSerName val="0"/>
          <c:showPercent val="0"/>
          <c:showBubbleSize val="0"/>
        </c:dLbls>
        <c:gapWidth val="100"/>
        <c:axId val="265139712"/>
        <c:axId val="265141248"/>
      </c:barChart>
      <c:catAx>
        <c:axId val="2651397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141248"/>
        <c:crosses val="autoZero"/>
        <c:auto val="1"/>
        <c:lblAlgn val="ctr"/>
        <c:lblOffset val="100"/>
        <c:noMultiLvlLbl val="0"/>
      </c:catAx>
      <c:valAx>
        <c:axId val="265141248"/>
        <c:scaling>
          <c:orientation val="minMax"/>
        </c:scaling>
        <c:delete val="1"/>
        <c:axPos val="b"/>
        <c:numFmt formatCode="0.00%" sourceLinked="1"/>
        <c:majorTickMark val="none"/>
        <c:minorTickMark val="none"/>
        <c:tickLblPos val="nextTo"/>
        <c:crossAx val="26513971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CC0E2C">
                  <a:alpha val="20000"/>
                </a:srgbClr>
              </a:solidFill>
              <a:ln w="19050">
                <a:solidFill>
                  <a:schemeClr val="lt1"/>
                </a:solidFill>
              </a:ln>
              <a:effectLst/>
            </c:spPr>
          </c:dPt>
          <c:dPt>
            <c:idx val="4"/>
            <c:bubble3D val="0"/>
            <c:spPr>
              <a:solidFill>
                <a:schemeClr val="accent2">
                  <a:lumMod val="40000"/>
                  <a:lumOff val="60000"/>
                </a:schemeClr>
              </a:solidFill>
              <a:ln w="19050">
                <a:solidFill>
                  <a:schemeClr val="lt1"/>
                </a:solidFill>
              </a:ln>
              <a:effectLst/>
            </c:spPr>
          </c:dPt>
          <c:dLbls>
            <c:dLbl>
              <c:idx val="1"/>
              <c:tx>
                <c:rich>
                  <a:bodyPr/>
                  <a:lstStyle/>
                  <a:p>
                    <a:fld id="{C8F6F89B-9521-47AB-BE84-BCF2DB1FAFAE}" type="CATEGORYNAME">
                      <a:rPr lang="zh-CN" altLang="en-US"/>
                      <a:pPr/>
                      <a:t>[类别名称]</a:t>
                    </a:fld>
                    <a:r>
                      <a:t>,</a:t>
                    </a:r>
                    <a:fld id="{F8A6C2A0-8AD6-44EA-BE81-ED6FF2A9BE26}"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layout>
                <c:manualLayout>
                  <c:x val="-2.77777777777779E-3"/>
                  <c:y val="1.38888888888889E-2"/>
                </c:manualLayout>
              </c:layout>
              <c:tx>
                <c:rich>
                  <a:bodyPr/>
                  <a:lstStyle/>
                  <a:p>
                    <a:fld id="{5D4A468D-479B-4FFE-9C6E-73809C78C017}" type="CATEGORYNAME">
                      <a:rPr lang="zh-CN" altLang="en-US"/>
                      <a:pPr/>
                      <a:t>[类别名称]</a:t>
                    </a:fld>
                    <a:r>
                      <a:t>,</a:t>
                    </a:r>
                    <a:fld id="{7610D045-3473-4C20-BF2C-EA6848CF21ED}" type="VALUE">
                      <a:rPr lang="zh-CN" altLang="en-US"/>
                      <a:pPr/>
                      <a:t>[值]</a:t>
                    </a:fld>
                    <a:endParaRPr/>
                  </a:p>
                </c:rich>
              </c:tx>
              <c:dLblPos val="bestFit"/>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extLst>
              <c:ext xmlns:c15="http://schemas.microsoft.com/office/drawing/2012/chart" uri="{CE6537A1-D6FC-4f65-9D91-7224C49458BB}"/>
            </c:extLst>
          </c:dLbls>
          <c:cat>
            <c:strRef>
              <c:f>招聘!$A$152:$A$156</c:f>
              <c:strCache>
                <c:ptCount val="5"/>
                <c:pt idx="0">
                  <c:v>非常关注</c:v>
                </c:pt>
                <c:pt idx="1">
                  <c:v>关注</c:v>
                </c:pt>
                <c:pt idx="2">
                  <c:v>比较关注</c:v>
                </c:pt>
                <c:pt idx="3">
                  <c:v>不太关注</c:v>
                </c:pt>
                <c:pt idx="4">
                  <c:v>很不关注</c:v>
                </c:pt>
              </c:strCache>
            </c:strRef>
          </c:cat>
          <c:val>
            <c:numRef>
              <c:f>招聘!$C$152:$C$156</c:f>
              <c:numCache>
                <c:formatCode>0.00%</c:formatCode>
                <c:ptCount val="5"/>
                <c:pt idx="0">
                  <c:v>0.2109</c:v>
                </c:pt>
                <c:pt idx="1">
                  <c:v>0.35339999999999999</c:v>
                </c:pt>
                <c:pt idx="2">
                  <c:v>0.29049999999999998</c:v>
                </c:pt>
                <c:pt idx="3">
                  <c:v>0.13969999999999999</c:v>
                </c:pt>
                <c:pt idx="4">
                  <c:v>5.5999999999999999E-3</c:v>
                </c:pt>
              </c:numCache>
            </c:numRef>
          </c:val>
          <c:extLst>
            <c:ext xmlns:c16="http://schemas.microsoft.com/office/drawing/2014/chart" uri="{C3380CC4-5D6E-409C-BE32-E72D297353CC}">
              <c16:uniqueId val="{00000000-A72D-CA45-A32B-0BFBB533619D}"/>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Lbls>
            <c:dLbl>
              <c:idx val="1"/>
              <c:tx>
                <c:rich>
                  <a:bodyPr/>
                  <a:lstStyle/>
                  <a:p>
                    <a:fld id="{4116FE0B-2847-44D7-8019-CFD598C6CBA9}" type="CATEGORYNAME">
                      <a:rPr lang="zh-CN" altLang="en-US"/>
                      <a:pPr/>
                      <a:t>[类别名称]</a:t>
                    </a:fld>
                    <a:r>
                      <a:t>,</a:t>
                    </a:r>
                    <a:fld id="{F1324214-D7A2-432E-AFB1-2C1DCA5C936B}"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评价!$A$2:$A$4</c:f>
              <c:strCache>
                <c:ptCount val="3"/>
                <c:pt idx="0">
                  <c:v>非常满意</c:v>
                </c:pt>
                <c:pt idx="1">
                  <c:v>满意</c:v>
                </c:pt>
                <c:pt idx="2">
                  <c:v>比较满意</c:v>
                </c:pt>
              </c:strCache>
            </c:strRef>
          </c:cat>
          <c:val>
            <c:numRef>
              <c:f>评价!$C$2:$C$4</c:f>
              <c:numCache>
                <c:formatCode>0.00%</c:formatCode>
                <c:ptCount val="3"/>
                <c:pt idx="0">
                  <c:v>0.46289999999999998</c:v>
                </c:pt>
                <c:pt idx="1">
                  <c:v>0.43640000000000001</c:v>
                </c:pt>
                <c:pt idx="2">
                  <c:v>0.1007</c:v>
                </c:pt>
              </c:numCache>
            </c:numRef>
          </c:val>
          <c:extLst>
            <c:ext xmlns:c16="http://schemas.microsoft.com/office/drawing/2014/chart" uri="{C3380CC4-5D6E-409C-BE32-E72D297353CC}">
              <c16:uniqueId val="{00000000-4DCE-9346-BE75-B7146E373046}"/>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Lbls>
            <c:dLbl>
              <c:idx val="1"/>
              <c:tx>
                <c:rich>
                  <a:bodyPr/>
                  <a:lstStyle/>
                  <a:p>
                    <a:fld id="{5E17363E-29AF-4C37-9BB8-8B957A71532A}" type="CATEGORYNAME">
                      <a:rPr lang="zh-CN" altLang="en-US"/>
                      <a:pPr/>
                      <a:t>[类别名称]</a:t>
                    </a:fld>
                    <a:r>
                      <a:t>,</a:t>
                    </a:r>
                    <a:fld id="{A60443B3-5A66-44CB-850E-366CC158D0BF}"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评价!$A$57:$A$59</c:f>
              <c:strCache>
                <c:ptCount val="3"/>
                <c:pt idx="0">
                  <c:v>非常满意</c:v>
                </c:pt>
                <c:pt idx="1">
                  <c:v>满意</c:v>
                </c:pt>
                <c:pt idx="2">
                  <c:v>比较满意</c:v>
                </c:pt>
              </c:strCache>
            </c:strRef>
          </c:cat>
          <c:val>
            <c:numRef>
              <c:f>评价!$C$57:$C$59</c:f>
              <c:numCache>
                <c:formatCode>0.00%</c:formatCode>
                <c:ptCount val="3"/>
                <c:pt idx="0">
                  <c:v>0.49230000000000002</c:v>
                </c:pt>
                <c:pt idx="1">
                  <c:v>0.43080000000000002</c:v>
                </c:pt>
                <c:pt idx="2">
                  <c:v>7.6899999999999996E-2</c:v>
                </c:pt>
              </c:numCache>
            </c:numRef>
          </c:val>
          <c:extLst>
            <c:ext xmlns:c16="http://schemas.microsoft.com/office/drawing/2014/chart" uri="{C3380CC4-5D6E-409C-BE32-E72D297353CC}">
              <c16:uniqueId val="{00000000-88C0-4346-A839-50423EE872BE}"/>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1594398302952"/>
          <c:y val="4.3912175648702603E-2"/>
          <c:w val="0.70187592133175103"/>
          <c:h val="0.91217564870259504"/>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评价!$A$73:$A$78</c:f>
              <c:strCache>
                <c:ptCount val="6"/>
                <c:pt idx="0">
                  <c:v>加强研究能力的培养</c:v>
                </c:pt>
                <c:pt idx="1">
                  <c:v>加强人生观，职业观等生涯规划教育</c:v>
                </c:pt>
                <c:pt idx="2">
                  <c:v>加强人际沟通能力和协调能力的培养</c:v>
                </c:pt>
                <c:pt idx="3">
                  <c:v>夯实专业知识</c:v>
                </c:pt>
                <c:pt idx="4">
                  <c:v>强化专业实践环节</c:v>
                </c:pt>
                <c:pt idx="5">
                  <c:v>加强校企合作</c:v>
                </c:pt>
              </c:strCache>
            </c:strRef>
          </c:cat>
          <c:val>
            <c:numRef>
              <c:f>评价!$C$73:$C$78</c:f>
              <c:numCache>
                <c:formatCode>0.00%</c:formatCode>
                <c:ptCount val="6"/>
                <c:pt idx="0">
                  <c:v>4.1142857142857099E-2</c:v>
                </c:pt>
                <c:pt idx="1">
                  <c:v>0.157142857142857</c:v>
                </c:pt>
                <c:pt idx="2">
                  <c:v>0.158285714285714</c:v>
                </c:pt>
                <c:pt idx="3">
                  <c:v>0.17942857142857099</c:v>
                </c:pt>
                <c:pt idx="4">
                  <c:v>0.22</c:v>
                </c:pt>
                <c:pt idx="5">
                  <c:v>0.24399999999999999</c:v>
                </c:pt>
              </c:numCache>
            </c:numRef>
          </c:val>
          <c:extLst>
            <c:ext xmlns:c16="http://schemas.microsoft.com/office/drawing/2014/chart" uri="{C3380CC4-5D6E-409C-BE32-E72D297353CC}">
              <c16:uniqueId val="{00000000-F90E-D64C-BE5D-0F08429B5E33}"/>
            </c:ext>
          </c:extLst>
        </c:ser>
        <c:dLbls>
          <c:showLegendKey val="0"/>
          <c:showVal val="1"/>
          <c:showCatName val="0"/>
          <c:showSerName val="0"/>
          <c:showPercent val="0"/>
          <c:showBubbleSize val="0"/>
        </c:dLbls>
        <c:gapWidth val="100"/>
        <c:axId val="265513984"/>
        <c:axId val="265544448"/>
      </c:barChart>
      <c:catAx>
        <c:axId val="2655139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544448"/>
        <c:crosses val="autoZero"/>
        <c:auto val="1"/>
        <c:lblAlgn val="ctr"/>
        <c:lblOffset val="100"/>
        <c:noMultiLvlLbl val="0"/>
      </c:catAx>
      <c:valAx>
        <c:axId val="265544448"/>
        <c:scaling>
          <c:orientation val="minMax"/>
        </c:scaling>
        <c:delete val="1"/>
        <c:axPos val="b"/>
        <c:numFmt formatCode="0.00%" sourceLinked="1"/>
        <c:majorTickMark val="none"/>
        <c:minorTickMark val="none"/>
        <c:tickLblPos val="nextTo"/>
        <c:crossAx val="26551398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6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D00E2C">
                  <a:alpha val="80000"/>
                </a:srgbClr>
              </a:solidFill>
              <a:ln w="19050">
                <a:solidFill>
                  <a:schemeClr val="lt1"/>
                </a:solidFill>
              </a:ln>
              <a:effectLst/>
            </c:spPr>
          </c:dPt>
          <c:dPt>
            <c:idx val="1"/>
            <c:bubble3D val="0"/>
            <c:spPr>
              <a:solidFill>
                <a:srgbClr val="D00E2C">
                  <a:alpha val="60000"/>
                </a:srgbClr>
              </a:solidFill>
              <a:ln w="19050">
                <a:solidFill>
                  <a:schemeClr val="lt1"/>
                </a:solidFill>
              </a:ln>
              <a:effectLst/>
            </c:spPr>
          </c:dPt>
          <c:dPt>
            <c:idx val="2"/>
            <c:bubble3D val="0"/>
            <c:spPr>
              <a:solidFill>
                <a:srgbClr val="D00E2C">
                  <a:alpha val="40000"/>
                </a:srgbClr>
              </a:solidFill>
              <a:ln w="19050">
                <a:solidFill>
                  <a:schemeClr val="lt1"/>
                </a:solidFill>
              </a:ln>
              <a:effectLst/>
            </c:spPr>
          </c:dPt>
          <c:dPt>
            <c:idx val="3"/>
            <c:bubble3D val="0"/>
            <c:spPr>
              <a:solidFill>
                <a:srgbClr val="CC0E2C">
                  <a:alpha val="20000"/>
                </a:srgbClr>
              </a:solidFill>
              <a:ln w="19050">
                <a:solidFill>
                  <a:schemeClr val="lt1"/>
                </a:solidFill>
              </a:ln>
              <a:effectLst/>
            </c:spPr>
          </c:dPt>
          <c:dLbls>
            <c:dLbl>
              <c:idx val="1"/>
              <c:tx>
                <c:rich>
                  <a:bodyPr/>
                  <a:lstStyle/>
                  <a:p>
                    <a:fld id="{F150205E-3187-4A20-A027-42D95F68A9EA}" type="CATEGORYNAME">
                      <a:rPr lang="zh-CN" altLang="en-US"/>
                      <a:pPr/>
                      <a:t>[类别名称]</a:t>
                    </a:fld>
                    <a:r>
                      <a:t>,</a:t>
                    </a:r>
                    <a:fld id="{A7F554E0-13BB-4A87-9E7E-1F23A23C8436}" type="VALUE">
                      <a:rPr lang="zh-CN" altLang="en-US"/>
                      <a:pPr/>
                      <a:t>[值]</a:t>
                    </a:fld>
                    <a:endParaRPr/>
                  </a:p>
                </c:rich>
              </c:tx>
              <c:dLblPos val="outEnd"/>
              <c:showLegendKey val="0"/>
              <c:showVal val="1"/>
              <c:showCatName val="1"/>
              <c:showSerName val="0"/>
              <c:showPercent val="0"/>
              <c:showBubbleSize val="0"/>
              <c:extLst>
                <c:ext xmlns:c15="http://schemas.microsoft.com/office/drawing/2012/chart" uri="{CE6537A1-D6FC-4f65-9D91-7224C49458BB}">
                  <c15:dlblFieldTable/>
                  <c15:showDataLabelsRange val="0"/>
                </c:ext>
              </c:extLst>
            </c:dLbl>
            <c:dLbl>
              <c:idx val="3"/>
              <c:layout>
                <c:manualLayout>
                  <c:x val="5.5555555555555601E-2"/>
                  <c:y val="0"/>
                </c:manualLayout>
              </c:layout>
              <c:tx>
                <c:rich>
                  <a:bodyPr/>
                  <a:lstStyle/>
                  <a:p>
                    <a:fld id="{2F5EABF9-82AF-4FF6-8010-4A63EBC41A0A}" type="CATEGORYNAME">
                      <a:rPr lang="zh-CN" altLang="en-US"/>
                      <a:pPr/>
                      <a:t>[类别名称]</a:t>
                    </a:fld>
                    <a:r>
                      <a:t>,</a:t>
                    </a:r>
                    <a:fld id="{6A10D6DA-66A8-4680-BBAE-D6AB91D9E1A2}" type="VALUE">
                      <a:rPr lang="zh-CN" altLang="en-US"/>
                      <a:pPr/>
                      <a:t>[值]</a:t>
                    </a:fld>
                    <a:endParaRPr/>
                  </a:p>
                </c:rich>
              </c:tx>
              <c:dLblPos val="bestFit"/>
              <c:showLegendKey val="0"/>
              <c:showVal val="1"/>
              <c:showCatName val="1"/>
              <c:showSerName val="0"/>
              <c:showPercent val="0"/>
              <c:showBubbleSize val="0"/>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评价!$A$90:$A$93</c:f>
              <c:strCache>
                <c:ptCount val="4"/>
                <c:pt idx="0">
                  <c:v>非常满意</c:v>
                </c:pt>
                <c:pt idx="1">
                  <c:v>满意</c:v>
                </c:pt>
                <c:pt idx="2">
                  <c:v>比较满意</c:v>
                </c:pt>
                <c:pt idx="3">
                  <c:v>不太满意</c:v>
                </c:pt>
              </c:strCache>
            </c:strRef>
          </c:cat>
          <c:val>
            <c:numRef>
              <c:f>评价!$C$90:$C$93</c:f>
              <c:numCache>
                <c:formatCode>0.00%</c:formatCode>
                <c:ptCount val="4"/>
                <c:pt idx="0">
                  <c:v>0.54200000000000004</c:v>
                </c:pt>
                <c:pt idx="1">
                  <c:v>0.37540000000000001</c:v>
                </c:pt>
                <c:pt idx="2">
                  <c:v>7.8399999999999997E-2</c:v>
                </c:pt>
                <c:pt idx="3">
                  <c:v>4.1999999999999997E-3</c:v>
                </c:pt>
              </c:numCache>
            </c:numRef>
          </c:val>
          <c:extLst>
            <c:ext xmlns:c16="http://schemas.microsoft.com/office/drawing/2014/chart" uri="{C3380CC4-5D6E-409C-BE32-E72D297353CC}">
              <c16:uniqueId val="{00000000-90AA-0846-9863-680795C2EC2E}"/>
            </c:ext>
          </c:extLst>
        </c:ser>
        <c:dLbls>
          <c:showLegendKey val="0"/>
          <c:showVal val="1"/>
          <c:showCatName val="1"/>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noFill/>
      <a:prstDash val="solid"/>
      <a:round/>
    </a:ln>
    <a:effectLst/>
  </c:spPr>
  <c:txPr>
    <a:bodyPr/>
    <a:lstStyle/>
    <a:p>
      <a:pPr>
        <a:defRPr lang="zh-CN">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7490361224701102"/>
          <c:y val="4.3912175648702603E-2"/>
          <c:w val="0.62509638775298904"/>
          <c:h val="0.91217564870259504"/>
        </c:manualLayout>
      </c:layout>
      <c:barChart>
        <c:barDir val="bar"/>
        <c:grouping val="clustered"/>
        <c:varyColors val="0"/>
        <c:ser>
          <c:idx val="0"/>
          <c:order val="0"/>
          <c:spPr>
            <a:solidFill>
              <a:srgbClr val="D00E2C">
                <a:alpha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评价!$A$121:$A$127</c:f>
              <c:strCache>
                <c:ptCount val="7"/>
                <c:pt idx="0">
                  <c:v>改进服务态度</c:v>
                </c:pt>
                <c:pt idx="1">
                  <c:v>其他</c:v>
                </c:pt>
                <c:pt idx="2">
                  <c:v>拓宽服务项目</c:v>
                </c:pt>
                <c:pt idx="3">
                  <c:v>优化招聘硬件设施</c:v>
                </c:pt>
                <c:pt idx="4">
                  <c:v>增加招聘场次</c:v>
                </c:pt>
                <c:pt idx="5">
                  <c:v>加强校企沟通，走访用人单位</c:v>
                </c:pt>
                <c:pt idx="6">
                  <c:v>加强宣传力度</c:v>
                </c:pt>
              </c:strCache>
            </c:strRef>
          </c:cat>
          <c:val>
            <c:numRef>
              <c:f>评价!$C$121:$C$127</c:f>
              <c:numCache>
                <c:formatCode>0.00%</c:formatCode>
                <c:ptCount val="7"/>
                <c:pt idx="0">
                  <c:v>1.9521410579345099E-2</c:v>
                </c:pt>
                <c:pt idx="1">
                  <c:v>2.58186397984887E-2</c:v>
                </c:pt>
                <c:pt idx="2">
                  <c:v>6.8639798488664902E-2</c:v>
                </c:pt>
                <c:pt idx="3">
                  <c:v>7.8715365239294705E-2</c:v>
                </c:pt>
                <c:pt idx="4">
                  <c:v>0.243702770780856</c:v>
                </c:pt>
                <c:pt idx="5">
                  <c:v>0.27078085642317401</c:v>
                </c:pt>
                <c:pt idx="6">
                  <c:v>0.292821158690176</c:v>
                </c:pt>
              </c:numCache>
            </c:numRef>
          </c:val>
          <c:extLst>
            <c:ext xmlns:c16="http://schemas.microsoft.com/office/drawing/2014/chart" uri="{C3380CC4-5D6E-409C-BE32-E72D297353CC}">
              <c16:uniqueId val="{00000000-45D1-0B4C-9D3F-B68446999954}"/>
            </c:ext>
          </c:extLst>
        </c:ser>
        <c:dLbls>
          <c:showLegendKey val="0"/>
          <c:showVal val="1"/>
          <c:showCatName val="0"/>
          <c:showSerName val="0"/>
          <c:showPercent val="0"/>
          <c:showBubbleSize val="0"/>
        </c:dLbls>
        <c:gapWidth val="100"/>
        <c:axId val="265608192"/>
        <c:axId val="265638656"/>
      </c:barChart>
      <c:catAx>
        <c:axId val="2656081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638656"/>
        <c:crosses val="autoZero"/>
        <c:auto val="1"/>
        <c:lblAlgn val="ctr"/>
        <c:lblOffset val="100"/>
        <c:noMultiLvlLbl val="0"/>
      </c:catAx>
      <c:valAx>
        <c:axId val="265638656"/>
        <c:scaling>
          <c:orientation val="minMax"/>
        </c:scaling>
        <c:delete val="1"/>
        <c:axPos val="b"/>
        <c:numFmt formatCode="0.00%" sourceLinked="1"/>
        <c:majorTickMark val="none"/>
        <c:minorTickMark val="none"/>
        <c:tickLblPos val="nextTo"/>
        <c:crossAx val="26560819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'就业率|常规就业率'!$A$2</c:f>
              <c:strCache>
                <c:ptCount val="1"/>
                <c:pt idx="0">
                  <c:v>初次就业率</c:v>
                </c:pt>
              </c:strCache>
            </c:strRef>
          </c:tx>
          <c:spPr>
            <a:ln w="28575" cap="rnd" cmpd="sng" algn="ctr">
              <a:solidFill>
                <a:srgbClr val="FF0000"/>
              </a:solidFill>
              <a:prstDash val="solid"/>
              <a:round/>
            </a:ln>
            <a:effectLst/>
          </c:spPr>
          <c:marker>
            <c:symbol val="circle"/>
            <c:size val="7"/>
            <c:spPr>
              <a:solidFill>
                <a:srgbClr val="FF0000"/>
              </a:solidFill>
              <a:ln w="9525" cap="flat" cmpd="sng" algn="ctr">
                <a:solidFill>
                  <a:srgbClr val="FF0000"/>
                </a:solidFill>
                <a:prstDash val="solid"/>
                <a:round/>
              </a:ln>
              <a:effectLst/>
            </c:spPr>
          </c:marker>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'就业率|常规就业率'!$B$1:$G$1</c:f>
              <c:strCache>
                <c:ptCount val="6"/>
                <c:pt idx="0">
                  <c:v>2014届</c:v>
                </c:pt>
                <c:pt idx="1">
                  <c:v>2015届</c:v>
                </c:pt>
                <c:pt idx="2">
                  <c:v>2016届</c:v>
                </c:pt>
                <c:pt idx="3">
                  <c:v>2017届</c:v>
                </c:pt>
                <c:pt idx="4">
                  <c:v>2018届</c:v>
                </c:pt>
                <c:pt idx="5">
                  <c:v>2019届</c:v>
                </c:pt>
              </c:strCache>
            </c:strRef>
          </c:cat>
          <c:val>
            <c:numRef>
              <c:f>'就业率|常规就业率'!$B$2:$G$2</c:f>
              <c:numCache>
                <c:formatCode>0.00%</c:formatCode>
                <c:ptCount val="6"/>
                <c:pt idx="0">
                  <c:v>0.88270000000000004</c:v>
                </c:pt>
                <c:pt idx="1">
                  <c:v>0.89329999999999998</c:v>
                </c:pt>
                <c:pt idx="2">
                  <c:v>0.89690000000000003</c:v>
                </c:pt>
                <c:pt idx="3">
                  <c:v>0.92169999999999996</c:v>
                </c:pt>
                <c:pt idx="4">
                  <c:v>0.90249999999999997</c:v>
                </c:pt>
                <c:pt idx="5">
                  <c:v>0.83389999999999997</c:v>
                </c:pt>
              </c:numCache>
            </c:numRef>
          </c:val>
          <c:smooth val="0"/>
          <c:extLst>
            <c:ext xmlns:c16="http://schemas.microsoft.com/office/drawing/2014/chart" uri="{C3380CC4-5D6E-409C-BE32-E72D297353CC}">
              <c16:uniqueId val="{00000000-7F85-4C48-8B0B-B83105DA1643}"/>
            </c:ext>
          </c:extLst>
        </c:ser>
        <c:ser>
          <c:idx val="1"/>
          <c:order val="1"/>
          <c:tx>
            <c:strRef>
              <c:f>'就业率|常规就业率'!$A$3</c:f>
              <c:strCache>
                <c:ptCount val="1"/>
                <c:pt idx="0">
                  <c:v>常规就业率</c:v>
                </c:pt>
              </c:strCache>
            </c:strRef>
          </c:tx>
          <c:spPr>
            <a:ln w="28575" cap="rnd" cmpd="sng" algn="ctr">
              <a:solidFill>
                <a:schemeClr val="accent2"/>
              </a:solidFill>
              <a:prstDash val="solid"/>
              <a:round/>
            </a:ln>
            <a:effectLst/>
          </c:spPr>
          <c:marker>
            <c:symbol val="square"/>
            <c:size val="7"/>
            <c:spPr>
              <a:solidFill>
                <a:schemeClr val="accent2"/>
              </a:solidFill>
              <a:ln w="9525" cap="flat" cmpd="sng" algn="ctr">
                <a:solidFill>
                  <a:schemeClr val="accent2"/>
                </a:solidFill>
                <a:prstDash val="solid"/>
                <a:round/>
              </a:ln>
              <a:effectLst/>
            </c:spPr>
          </c:marker>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'就业率|常规就业率'!$B$1:$G$1</c:f>
              <c:strCache>
                <c:ptCount val="6"/>
                <c:pt idx="0">
                  <c:v>2014届</c:v>
                </c:pt>
                <c:pt idx="1">
                  <c:v>2015届</c:v>
                </c:pt>
                <c:pt idx="2">
                  <c:v>2016届</c:v>
                </c:pt>
                <c:pt idx="3">
                  <c:v>2017届</c:v>
                </c:pt>
                <c:pt idx="4">
                  <c:v>2018届</c:v>
                </c:pt>
                <c:pt idx="5">
                  <c:v>2019届</c:v>
                </c:pt>
              </c:strCache>
            </c:strRef>
          </c:cat>
          <c:val>
            <c:numRef>
              <c:f>'就业率|常规就业率'!$B$3:$G$3</c:f>
              <c:numCache>
                <c:formatCode>0.00%</c:formatCode>
                <c:ptCount val="6"/>
                <c:pt idx="0">
                  <c:v>0.6109</c:v>
                </c:pt>
                <c:pt idx="1">
                  <c:v>0.63770000000000104</c:v>
                </c:pt>
                <c:pt idx="2">
                  <c:v>0.63349999999999995</c:v>
                </c:pt>
                <c:pt idx="3">
                  <c:v>0.65739999999999998</c:v>
                </c:pt>
                <c:pt idx="4">
                  <c:v>0.66830000000000001</c:v>
                </c:pt>
                <c:pt idx="5">
                  <c:v>0.64259999999999995</c:v>
                </c:pt>
              </c:numCache>
            </c:numRef>
          </c:val>
          <c:smooth val="0"/>
          <c:extLst>
            <c:ext xmlns:c16="http://schemas.microsoft.com/office/drawing/2014/chart" uri="{C3380CC4-5D6E-409C-BE32-E72D297353CC}">
              <c16:uniqueId val="{00000001-7F85-4C48-8B0B-B83105DA1643}"/>
            </c:ext>
          </c:extLst>
        </c:ser>
        <c:dLbls>
          <c:showLegendKey val="0"/>
          <c:showVal val="1"/>
          <c:showCatName val="0"/>
          <c:showSerName val="0"/>
          <c:showPercent val="0"/>
          <c:showBubbleSize val="0"/>
        </c:dLbls>
        <c:marker val="1"/>
        <c:smooth val="0"/>
        <c:axId val="265684096"/>
        <c:axId val="265685632"/>
      </c:lineChart>
      <c:catAx>
        <c:axId val="265684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685632"/>
        <c:crosses val="autoZero"/>
        <c:auto val="1"/>
        <c:lblAlgn val="ctr"/>
        <c:lblOffset val="100"/>
        <c:noMultiLvlLbl val="0"/>
      </c:catAx>
      <c:valAx>
        <c:axId val="265685632"/>
        <c:scaling>
          <c:orientation val="minMax"/>
        </c:scaling>
        <c:delete val="0"/>
        <c:axPos val="l"/>
        <c:numFmt formatCode="0%" sourceLinked="0"/>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684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'就业率|常规就业率'!$A$4</c:f>
              <c:strCache>
                <c:ptCount val="1"/>
                <c:pt idx="0">
                  <c:v>国（境）内升学率</c:v>
                </c:pt>
              </c:strCache>
            </c:strRef>
          </c:tx>
          <c:spPr>
            <a:ln w="28575" cap="rnd" cmpd="sng" algn="ctr">
              <a:solidFill>
                <a:srgbClr val="FF0000"/>
              </a:solidFill>
              <a:prstDash val="solid"/>
              <a:round/>
            </a:ln>
            <a:effectLst/>
          </c:spPr>
          <c:marker>
            <c:symbol val="circle"/>
            <c:size val="7"/>
            <c:spPr>
              <a:solidFill>
                <a:srgbClr val="FF0000"/>
              </a:solidFill>
              <a:ln w="9525" cap="flat" cmpd="sng" algn="ctr">
                <a:solidFill>
                  <a:srgbClr val="FF0000"/>
                </a:solidFill>
                <a:prstDash val="solid"/>
                <a:round/>
              </a:ln>
              <a:effectLst/>
            </c:spPr>
          </c:marker>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'就业率|常规就业率'!$B$1:$G$1</c:f>
              <c:strCache>
                <c:ptCount val="6"/>
                <c:pt idx="0">
                  <c:v>2014届</c:v>
                </c:pt>
                <c:pt idx="1">
                  <c:v>2015届</c:v>
                </c:pt>
                <c:pt idx="2">
                  <c:v>2016届</c:v>
                </c:pt>
                <c:pt idx="3">
                  <c:v>2017届</c:v>
                </c:pt>
                <c:pt idx="4">
                  <c:v>2018届</c:v>
                </c:pt>
                <c:pt idx="5">
                  <c:v>2019届</c:v>
                </c:pt>
              </c:strCache>
            </c:strRef>
          </c:cat>
          <c:val>
            <c:numRef>
              <c:f>'就业率|常规就业率'!$B$4:$G$4</c:f>
              <c:numCache>
                <c:formatCode>0.00%</c:formatCode>
                <c:ptCount val="6"/>
                <c:pt idx="0">
                  <c:v>9.9400000000000002E-2</c:v>
                </c:pt>
                <c:pt idx="1">
                  <c:v>0.1187</c:v>
                </c:pt>
                <c:pt idx="2">
                  <c:v>0.11269999999999999</c:v>
                </c:pt>
                <c:pt idx="3">
                  <c:v>0.1346</c:v>
                </c:pt>
                <c:pt idx="4">
                  <c:v>0.1454</c:v>
                </c:pt>
                <c:pt idx="5">
                  <c:v>0.17449999999999999</c:v>
                </c:pt>
              </c:numCache>
            </c:numRef>
          </c:val>
          <c:smooth val="0"/>
          <c:extLst>
            <c:ext xmlns:c16="http://schemas.microsoft.com/office/drawing/2014/chart" uri="{C3380CC4-5D6E-409C-BE32-E72D297353CC}">
              <c16:uniqueId val="{00000000-3715-B641-B8BB-C3A43C0F4DEF}"/>
            </c:ext>
          </c:extLst>
        </c:ser>
        <c:ser>
          <c:idx val="1"/>
          <c:order val="1"/>
          <c:tx>
            <c:strRef>
              <c:f>'就业率|常规就业率'!$A$5</c:f>
              <c:strCache>
                <c:ptCount val="1"/>
                <c:pt idx="0">
                  <c:v>国（境）外升学率</c:v>
                </c:pt>
              </c:strCache>
            </c:strRef>
          </c:tx>
          <c:spPr>
            <a:ln w="28575" cap="rnd" cmpd="sng" algn="ctr">
              <a:solidFill>
                <a:schemeClr val="accent2"/>
              </a:solidFill>
              <a:prstDash val="solid"/>
              <a:round/>
            </a:ln>
            <a:effectLst/>
          </c:spPr>
          <c:marker>
            <c:symbol val="square"/>
            <c:size val="7"/>
            <c:spPr>
              <a:solidFill>
                <a:schemeClr val="accent2"/>
              </a:solidFill>
              <a:ln w="9525" cap="flat" cmpd="sng" algn="ctr">
                <a:solidFill>
                  <a:schemeClr val="accent2"/>
                </a:solidFill>
                <a:prstDash val="solid"/>
                <a:round/>
              </a:ln>
              <a:effectLst/>
            </c:spPr>
          </c:marker>
          <c:dLbls>
            <c:dLbl>
              <c:idx val="5"/>
              <c:tx>
                <c:rich>
                  <a:bodyPr/>
                  <a:lstStyle/>
                  <a:p>
                    <a:r>
                      <a:rPr lang="en-US" altLang="zh-CN"/>
                      <a:t>12.50%</a:t>
                    </a:r>
                  </a:p>
                </c:rich>
              </c:tx>
              <c:dLblPos val="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'就业率|常规就业率'!$B$1:$G$1</c:f>
              <c:strCache>
                <c:ptCount val="6"/>
                <c:pt idx="0">
                  <c:v>2014届</c:v>
                </c:pt>
                <c:pt idx="1">
                  <c:v>2015届</c:v>
                </c:pt>
                <c:pt idx="2">
                  <c:v>2016届</c:v>
                </c:pt>
                <c:pt idx="3">
                  <c:v>2017届</c:v>
                </c:pt>
                <c:pt idx="4">
                  <c:v>2018届</c:v>
                </c:pt>
                <c:pt idx="5">
                  <c:v>2019届</c:v>
                </c:pt>
              </c:strCache>
            </c:strRef>
          </c:cat>
          <c:val>
            <c:numRef>
              <c:f>'就业率|常规就业率'!$B$5:$G$5</c:f>
              <c:numCache>
                <c:formatCode>0.00%</c:formatCode>
                <c:ptCount val="6"/>
                <c:pt idx="0">
                  <c:v>7.2099999999999997E-2</c:v>
                </c:pt>
                <c:pt idx="1">
                  <c:v>8.3400000000000002E-2</c:v>
                </c:pt>
                <c:pt idx="2">
                  <c:v>9.01E-2</c:v>
                </c:pt>
                <c:pt idx="3">
                  <c:v>9.6699999999999994E-2</c:v>
                </c:pt>
                <c:pt idx="4">
                  <c:v>0.1053</c:v>
                </c:pt>
                <c:pt idx="5">
                  <c:v>0.12520000000000001</c:v>
                </c:pt>
              </c:numCache>
            </c:numRef>
          </c:val>
          <c:smooth val="0"/>
          <c:extLst>
            <c:ext xmlns:c16="http://schemas.microsoft.com/office/drawing/2014/chart" uri="{C3380CC4-5D6E-409C-BE32-E72D297353CC}">
              <c16:uniqueId val="{00000001-3715-B641-B8BB-C3A43C0F4DEF}"/>
            </c:ext>
          </c:extLst>
        </c:ser>
        <c:dLbls>
          <c:showLegendKey val="0"/>
          <c:showVal val="1"/>
          <c:showCatName val="0"/>
          <c:showSerName val="0"/>
          <c:showPercent val="0"/>
          <c:showBubbleSize val="0"/>
        </c:dLbls>
        <c:marker val="1"/>
        <c:smooth val="0"/>
        <c:axId val="265739648"/>
        <c:axId val="265749632"/>
      </c:lineChart>
      <c:catAx>
        <c:axId val="265739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749632"/>
        <c:crosses val="autoZero"/>
        <c:auto val="1"/>
        <c:lblAlgn val="ctr"/>
        <c:lblOffset val="100"/>
        <c:noMultiLvlLbl val="0"/>
      </c:catAx>
      <c:valAx>
        <c:axId val="265749632"/>
        <c:scaling>
          <c:orientation val="minMax"/>
        </c:scaling>
        <c:delete val="0"/>
        <c:axPos val="l"/>
        <c:numFmt formatCode="0%" sourceLinked="0"/>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7396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行业分布!$C$53</c:f>
              <c:strCache>
                <c:ptCount val="1"/>
                <c:pt idx="0">
                  <c:v>2018届</c:v>
                </c:pt>
              </c:strCache>
            </c:strRef>
          </c:tx>
          <c:spPr>
            <a:solidFill>
              <a:schemeClr val="accent2">
                <a:lumMod val="20000"/>
                <a:lumOff val="8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行业分布!$B$54:$B$64</c:f>
              <c:strCache>
                <c:ptCount val="11"/>
                <c:pt idx="0">
                  <c:v>其他</c:v>
                </c:pt>
                <c:pt idx="1">
                  <c:v>租赁和商务服务业</c:v>
                </c:pt>
                <c:pt idx="2">
                  <c:v>教育业</c:v>
                </c:pt>
                <c:pt idx="3">
                  <c:v>房地产业</c:v>
                </c:pt>
                <c:pt idx="4">
                  <c:v>科学研究和技术服务业</c:v>
                </c:pt>
                <c:pt idx="5">
                  <c:v>批发和零售业</c:v>
                </c:pt>
                <c:pt idx="6">
                  <c:v>建筑业</c:v>
                </c:pt>
                <c:pt idx="7">
                  <c:v>居民服务、修理和其他服务业</c:v>
                </c:pt>
                <c:pt idx="8">
                  <c:v>信息传输、软件和信息技术服务业</c:v>
                </c:pt>
                <c:pt idx="9">
                  <c:v>制造业</c:v>
                </c:pt>
                <c:pt idx="10">
                  <c:v>金融业</c:v>
                </c:pt>
              </c:strCache>
            </c:strRef>
          </c:cat>
          <c:val>
            <c:numRef>
              <c:f>行业分布!$C$54:$C$64</c:f>
              <c:numCache>
                <c:formatCode>0.00%</c:formatCode>
                <c:ptCount val="11"/>
                <c:pt idx="0">
                  <c:v>9.8400000000000001E-2</c:v>
                </c:pt>
                <c:pt idx="1">
                  <c:v>0.12740000000000001</c:v>
                </c:pt>
                <c:pt idx="2">
                  <c:v>1.8100000000000002E-2</c:v>
                </c:pt>
                <c:pt idx="3">
                  <c:v>4.19E-2</c:v>
                </c:pt>
                <c:pt idx="4">
                  <c:v>2.9000000000000001E-2</c:v>
                </c:pt>
                <c:pt idx="5">
                  <c:v>3.8699999999999998E-2</c:v>
                </c:pt>
                <c:pt idx="6">
                  <c:v>6.0299999999999999E-2</c:v>
                </c:pt>
                <c:pt idx="7">
                  <c:v>0.1024</c:v>
                </c:pt>
                <c:pt idx="8">
                  <c:v>8.8400000000000006E-2</c:v>
                </c:pt>
                <c:pt idx="9">
                  <c:v>0.1885</c:v>
                </c:pt>
                <c:pt idx="10">
                  <c:v>0.2069</c:v>
                </c:pt>
              </c:numCache>
            </c:numRef>
          </c:val>
          <c:extLst>
            <c:ext xmlns:c16="http://schemas.microsoft.com/office/drawing/2014/chart" uri="{C3380CC4-5D6E-409C-BE32-E72D297353CC}">
              <c16:uniqueId val="{00000000-466F-904D-A0A4-5C9CCD56E5F6}"/>
            </c:ext>
          </c:extLst>
        </c:ser>
        <c:ser>
          <c:idx val="1"/>
          <c:order val="1"/>
          <c:tx>
            <c:strRef>
              <c:f>行业分布!$D$53</c:f>
              <c:strCache>
                <c:ptCount val="1"/>
                <c:pt idx="0">
                  <c:v>2019届</c:v>
                </c:pt>
              </c:strCache>
            </c:strRef>
          </c:tx>
          <c:spPr>
            <a:solidFill>
              <a:srgbClr val="D00E2C">
                <a:alpha val="8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行业分布!$B$54:$B$64</c:f>
              <c:strCache>
                <c:ptCount val="11"/>
                <c:pt idx="0">
                  <c:v>其他</c:v>
                </c:pt>
                <c:pt idx="1">
                  <c:v>租赁和商务服务业</c:v>
                </c:pt>
                <c:pt idx="2">
                  <c:v>教育业</c:v>
                </c:pt>
                <c:pt idx="3">
                  <c:v>房地产业</c:v>
                </c:pt>
                <c:pt idx="4">
                  <c:v>科学研究和技术服务业</c:v>
                </c:pt>
                <c:pt idx="5">
                  <c:v>批发和零售业</c:v>
                </c:pt>
                <c:pt idx="6">
                  <c:v>建筑业</c:v>
                </c:pt>
                <c:pt idx="7">
                  <c:v>居民服务、修理和其他服务业</c:v>
                </c:pt>
                <c:pt idx="8">
                  <c:v>信息传输、软件和信息技术服务业</c:v>
                </c:pt>
                <c:pt idx="9">
                  <c:v>制造业</c:v>
                </c:pt>
                <c:pt idx="10">
                  <c:v>金融业</c:v>
                </c:pt>
              </c:strCache>
            </c:strRef>
          </c:cat>
          <c:val>
            <c:numRef>
              <c:f>行业分布!$D$54:$D$64</c:f>
              <c:numCache>
                <c:formatCode>0.00%</c:formatCode>
                <c:ptCount val="11"/>
                <c:pt idx="0">
                  <c:v>8.5400000000000004E-2</c:v>
                </c:pt>
                <c:pt idx="1">
                  <c:v>2.12604403948367E-2</c:v>
                </c:pt>
                <c:pt idx="2">
                  <c:v>2.4297646165527698E-2</c:v>
                </c:pt>
                <c:pt idx="3">
                  <c:v>3.1131359149582399E-2</c:v>
                </c:pt>
                <c:pt idx="4">
                  <c:v>3.91040242976462E-2</c:v>
                </c:pt>
                <c:pt idx="5">
                  <c:v>9.1116173120728894E-2</c:v>
                </c:pt>
                <c:pt idx="6">
                  <c:v>9.3773728170083601E-2</c:v>
                </c:pt>
                <c:pt idx="7">
                  <c:v>0.11313591495823901</c:v>
                </c:pt>
                <c:pt idx="8">
                  <c:v>0.118830675778284</c:v>
                </c:pt>
                <c:pt idx="9">
                  <c:v>0.13705391040243001</c:v>
                </c:pt>
                <c:pt idx="10">
                  <c:v>0.244874715261959</c:v>
                </c:pt>
              </c:numCache>
            </c:numRef>
          </c:val>
          <c:extLst>
            <c:ext xmlns:c16="http://schemas.microsoft.com/office/drawing/2014/chart" uri="{C3380CC4-5D6E-409C-BE32-E72D297353CC}">
              <c16:uniqueId val="{00000001-466F-904D-A0A4-5C9CCD56E5F6}"/>
            </c:ext>
          </c:extLst>
        </c:ser>
        <c:dLbls>
          <c:showLegendKey val="0"/>
          <c:showVal val="1"/>
          <c:showCatName val="0"/>
          <c:showSerName val="0"/>
          <c:showPercent val="0"/>
          <c:showBubbleSize val="0"/>
        </c:dLbls>
        <c:gapWidth val="100"/>
        <c:axId val="265795456"/>
        <c:axId val="265796992"/>
      </c:barChart>
      <c:catAx>
        <c:axId val="2657954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796992"/>
        <c:crosses val="autoZero"/>
        <c:auto val="1"/>
        <c:lblAlgn val="ctr"/>
        <c:lblOffset val="100"/>
        <c:noMultiLvlLbl val="0"/>
      </c:catAx>
      <c:valAx>
        <c:axId val="265796992"/>
        <c:scaling>
          <c:orientation val="minMax"/>
        </c:scaling>
        <c:delete val="1"/>
        <c:axPos val="b"/>
        <c:numFmt formatCode="0.00%" sourceLinked="1"/>
        <c:majorTickMark val="none"/>
        <c:minorTickMark val="none"/>
        <c:tickLblPos val="nextTo"/>
        <c:crossAx val="2657954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8311665412158199"/>
          <c:y val="3.2310177705977397E-2"/>
          <c:w val="0.69039646892200102"/>
          <c:h val="0.87396093405786501"/>
        </c:manualLayout>
      </c:layout>
      <c:barChart>
        <c:barDir val="bar"/>
        <c:grouping val="clustered"/>
        <c:varyColors val="0"/>
        <c:ser>
          <c:idx val="0"/>
          <c:order val="0"/>
          <c:tx>
            <c:strRef>
              <c:f>职位类型!$C$47</c:f>
              <c:strCache>
                <c:ptCount val="1"/>
                <c:pt idx="0">
                  <c:v>2018届</c:v>
                </c:pt>
              </c:strCache>
            </c:strRef>
          </c:tx>
          <c:spPr>
            <a:solidFill>
              <a:schemeClr val="accent2">
                <a:lumMod val="20000"/>
                <a:lumOff val="8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职位类型!$B$48:$B$58</c:f>
              <c:strCache>
                <c:ptCount val="11"/>
                <c:pt idx="0">
                  <c:v>其他</c:v>
                </c:pt>
                <c:pt idx="1">
                  <c:v>法律专业人员</c:v>
                </c:pt>
                <c:pt idx="2">
                  <c:v>公务员</c:v>
                </c:pt>
                <c:pt idx="3">
                  <c:v>教学人员</c:v>
                </c:pt>
                <c:pt idx="4">
                  <c:v>其他专业技术人员</c:v>
                </c:pt>
                <c:pt idx="5">
                  <c:v>商业和服务业人员</c:v>
                </c:pt>
                <c:pt idx="6">
                  <c:v>工程技术人员</c:v>
                </c:pt>
                <c:pt idx="7">
                  <c:v>其他人员</c:v>
                </c:pt>
                <c:pt idx="8">
                  <c:v>金融业务人员</c:v>
                </c:pt>
                <c:pt idx="9">
                  <c:v>办事人员和有关人员</c:v>
                </c:pt>
                <c:pt idx="10">
                  <c:v>经济业务人员</c:v>
                </c:pt>
              </c:strCache>
            </c:strRef>
          </c:cat>
          <c:val>
            <c:numRef>
              <c:f>职位类型!$C$48:$C$58</c:f>
              <c:numCache>
                <c:formatCode>0.00%</c:formatCode>
                <c:ptCount val="11"/>
                <c:pt idx="0">
                  <c:v>2.5000000000000001E-3</c:v>
                </c:pt>
                <c:pt idx="1">
                  <c:v>1.01E-2</c:v>
                </c:pt>
                <c:pt idx="2">
                  <c:v>2.3800000000000002E-2</c:v>
                </c:pt>
                <c:pt idx="3">
                  <c:v>1.2E-2</c:v>
                </c:pt>
                <c:pt idx="4">
                  <c:v>9.3900000000000095E-2</c:v>
                </c:pt>
                <c:pt idx="5">
                  <c:v>4.3900000000000002E-2</c:v>
                </c:pt>
                <c:pt idx="6">
                  <c:v>9.5299999999999996E-2</c:v>
                </c:pt>
                <c:pt idx="7">
                  <c:v>6.6500000000000004E-2</c:v>
                </c:pt>
                <c:pt idx="8">
                  <c:v>0.1221</c:v>
                </c:pt>
                <c:pt idx="9">
                  <c:v>0.15479999999999999</c:v>
                </c:pt>
                <c:pt idx="10">
                  <c:v>0.37259999999999999</c:v>
                </c:pt>
              </c:numCache>
            </c:numRef>
          </c:val>
          <c:extLst>
            <c:ext xmlns:c16="http://schemas.microsoft.com/office/drawing/2014/chart" uri="{C3380CC4-5D6E-409C-BE32-E72D297353CC}">
              <c16:uniqueId val="{00000000-39AA-E046-8FC9-6115803CD2DB}"/>
            </c:ext>
          </c:extLst>
        </c:ser>
        <c:ser>
          <c:idx val="1"/>
          <c:order val="1"/>
          <c:tx>
            <c:strRef>
              <c:f>职位类型!$D$47</c:f>
              <c:strCache>
                <c:ptCount val="1"/>
                <c:pt idx="0">
                  <c:v>2019届</c:v>
                </c:pt>
              </c:strCache>
            </c:strRef>
          </c:tx>
          <c:spPr>
            <a:solidFill>
              <a:srgbClr val="D00E2C">
                <a:alpha val="8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职位类型!$B$48:$B$58</c:f>
              <c:strCache>
                <c:ptCount val="11"/>
                <c:pt idx="0">
                  <c:v>其他</c:v>
                </c:pt>
                <c:pt idx="1">
                  <c:v>法律专业人员</c:v>
                </c:pt>
                <c:pt idx="2">
                  <c:v>公务员</c:v>
                </c:pt>
                <c:pt idx="3">
                  <c:v>教学人员</c:v>
                </c:pt>
                <c:pt idx="4">
                  <c:v>其他专业技术人员</c:v>
                </c:pt>
                <c:pt idx="5">
                  <c:v>商业和服务业人员</c:v>
                </c:pt>
                <c:pt idx="6">
                  <c:v>工程技术人员</c:v>
                </c:pt>
                <c:pt idx="7">
                  <c:v>其他人员</c:v>
                </c:pt>
                <c:pt idx="8">
                  <c:v>金融业务人员</c:v>
                </c:pt>
                <c:pt idx="9">
                  <c:v>办事人员和有关人员</c:v>
                </c:pt>
                <c:pt idx="10">
                  <c:v>经济业务人员</c:v>
                </c:pt>
              </c:strCache>
            </c:strRef>
          </c:cat>
          <c:val>
            <c:numRef>
              <c:f>职位类型!$D$48:$D$58</c:f>
              <c:numCache>
                <c:formatCode>0.00%</c:formatCode>
                <c:ptCount val="11"/>
                <c:pt idx="0">
                  <c:v>3.8E-3</c:v>
                </c:pt>
                <c:pt idx="1">
                  <c:v>6.0744115413819298E-3</c:v>
                </c:pt>
                <c:pt idx="2">
                  <c:v>1.0250569476082E-2</c:v>
                </c:pt>
                <c:pt idx="3">
                  <c:v>1.6324981017463901E-2</c:v>
                </c:pt>
                <c:pt idx="4">
                  <c:v>4.2520880789673497E-2</c:v>
                </c:pt>
                <c:pt idx="5">
                  <c:v>7.5550493545937805E-2</c:v>
                </c:pt>
                <c:pt idx="6">
                  <c:v>9.1875474563401699E-2</c:v>
                </c:pt>
                <c:pt idx="7">
                  <c:v>9.4912680334092697E-2</c:v>
                </c:pt>
                <c:pt idx="8">
                  <c:v>0.11541381928625701</c:v>
                </c:pt>
                <c:pt idx="9">
                  <c:v>0.145785876993166</c:v>
                </c:pt>
                <c:pt idx="10">
                  <c:v>0.39749430523918</c:v>
                </c:pt>
              </c:numCache>
            </c:numRef>
          </c:val>
          <c:extLst>
            <c:ext xmlns:c16="http://schemas.microsoft.com/office/drawing/2014/chart" uri="{C3380CC4-5D6E-409C-BE32-E72D297353CC}">
              <c16:uniqueId val="{00000001-39AA-E046-8FC9-6115803CD2DB}"/>
            </c:ext>
          </c:extLst>
        </c:ser>
        <c:dLbls>
          <c:showLegendKey val="0"/>
          <c:showVal val="1"/>
          <c:showCatName val="0"/>
          <c:showSerName val="0"/>
          <c:showPercent val="0"/>
          <c:showBubbleSize val="0"/>
        </c:dLbls>
        <c:gapWidth val="100"/>
        <c:axId val="265859456"/>
        <c:axId val="265860992"/>
      </c:barChart>
      <c:catAx>
        <c:axId val="2658594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860992"/>
        <c:crosses val="autoZero"/>
        <c:auto val="1"/>
        <c:lblAlgn val="ctr"/>
        <c:lblOffset val="100"/>
        <c:noMultiLvlLbl val="0"/>
      </c:catAx>
      <c:valAx>
        <c:axId val="265860992"/>
        <c:scaling>
          <c:orientation val="minMax"/>
        </c:scaling>
        <c:delete val="1"/>
        <c:axPos val="b"/>
        <c:numFmt formatCode="0.00%" sourceLinked="1"/>
        <c:majorTickMark val="none"/>
        <c:minorTickMark val="none"/>
        <c:tickLblPos val="nextTo"/>
        <c:crossAx val="2658594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legend>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rgbClr val="D00E2C">
                  <a:alpha val="20000"/>
                </a:srgbClr>
              </a:solidFill>
              <a:ln>
                <a:noFill/>
              </a:ln>
              <a:effectLst/>
            </c:spPr>
          </c:dPt>
          <c:dPt>
            <c:idx val="1"/>
            <c:invertIfNegative val="0"/>
            <c:bubble3D val="0"/>
            <c:spPr>
              <a:solidFill>
                <a:srgbClr val="D00E2C">
                  <a:alpha val="40000"/>
                </a:srgbClr>
              </a:solidFill>
              <a:ln>
                <a:noFill/>
              </a:ln>
              <a:effectLst/>
            </c:spPr>
          </c:dPt>
          <c:dPt>
            <c:idx val="2"/>
            <c:invertIfNegative val="0"/>
            <c:bubble3D val="0"/>
            <c:spPr>
              <a:solidFill>
                <a:srgbClr val="D00E2C">
                  <a:alpha val="60000"/>
                </a:srgbClr>
              </a:solidFill>
              <a:ln>
                <a:noFill/>
              </a:ln>
              <a:effectLst/>
            </c:spPr>
          </c:dPt>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趋势!$A$2:$A$4</c:f>
              <c:strCache>
                <c:ptCount val="3"/>
                <c:pt idx="0">
                  <c:v>2017届</c:v>
                </c:pt>
                <c:pt idx="1">
                  <c:v>2018届</c:v>
                </c:pt>
                <c:pt idx="2">
                  <c:v>2019届</c:v>
                </c:pt>
              </c:strCache>
            </c:strRef>
          </c:cat>
          <c:val>
            <c:numRef>
              <c:f>趋势!$B$2:$B$4</c:f>
              <c:numCache>
                <c:formatCode>General</c:formatCode>
                <c:ptCount val="3"/>
                <c:pt idx="0">
                  <c:v>5132</c:v>
                </c:pt>
                <c:pt idx="1">
                  <c:v>5525</c:v>
                </c:pt>
                <c:pt idx="2">
                  <c:v>6288</c:v>
                </c:pt>
              </c:numCache>
            </c:numRef>
          </c:val>
          <c:extLst>
            <c:ext xmlns:c16="http://schemas.microsoft.com/office/drawing/2014/chart" uri="{C3380CC4-5D6E-409C-BE32-E72D297353CC}">
              <c16:uniqueId val="{00000000-9E9D-CB4B-B957-4152BB08A1D9}"/>
            </c:ext>
          </c:extLst>
        </c:ser>
        <c:dLbls>
          <c:showLegendKey val="0"/>
          <c:showVal val="1"/>
          <c:showCatName val="0"/>
          <c:showSerName val="0"/>
          <c:showPercent val="0"/>
          <c:showBubbleSize val="0"/>
        </c:dLbls>
        <c:gapWidth val="219"/>
        <c:overlap val="-27"/>
        <c:axId val="265898624"/>
        <c:axId val="265908608"/>
      </c:barChart>
      <c:catAx>
        <c:axId val="2658986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908608"/>
        <c:crosses val="autoZero"/>
        <c:auto val="1"/>
        <c:lblAlgn val="ctr"/>
        <c:lblOffset val="100"/>
        <c:noMultiLvlLbl val="0"/>
      </c:catAx>
      <c:valAx>
        <c:axId val="265908608"/>
        <c:scaling>
          <c:orientation val="minMax"/>
        </c:scaling>
        <c:delete val="1"/>
        <c:axPos val="l"/>
        <c:numFmt formatCode="General" sourceLinked="1"/>
        <c:majorTickMark val="none"/>
        <c:minorTickMark val="none"/>
        <c:tickLblPos val="nextTo"/>
        <c:crossAx val="26589862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charts/chart7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rgbClr val="D00E2C">
                  <a:alpha val="20000"/>
                </a:srgbClr>
              </a:solidFill>
              <a:ln>
                <a:noFill/>
              </a:ln>
              <a:effectLst/>
            </c:spPr>
          </c:dPt>
          <c:dPt>
            <c:idx val="1"/>
            <c:invertIfNegative val="0"/>
            <c:bubble3D val="0"/>
            <c:spPr>
              <a:solidFill>
                <a:srgbClr val="D00E2C">
                  <a:alpha val="40000"/>
                </a:srgbClr>
              </a:solidFill>
              <a:ln>
                <a:noFill/>
              </a:ln>
              <a:effectLst/>
            </c:spPr>
          </c:dPt>
          <c:dPt>
            <c:idx val="2"/>
            <c:invertIfNegative val="0"/>
            <c:bubble3D val="0"/>
            <c:spPr>
              <a:solidFill>
                <a:srgbClr val="D00E2C">
                  <a:alpha val="60000"/>
                </a:srgbClr>
              </a:solidFill>
              <a:ln>
                <a:noFill/>
              </a:ln>
              <a:effectLst/>
            </c:spPr>
          </c:dPt>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趋势!$A$26:$A$28</c:f>
              <c:strCache>
                <c:ptCount val="3"/>
                <c:pt idx="0">
                  <c:v>2017届</c:v>
                </c:pt>
                <c:pt idx="1">
                  <c:v>2018届</c:v>
                </c:pt>
                <c:pt idx="2">
                  <c:v>2019届</c:v>
                </c:pt>
              </c:strCache>
            </c:strRef>
          </c:cat>
          <c:val>
            <c:numRef>
              <c:f>趋势!$B$26:$B$28</c:f>
              <c:numCache>
                <c:formatCode>0.00%</c:formatCode>
                <c:ptCount val="3"/>
                <c:pt idx="0">
                  <c:v>0.72040000000000004</c:v>
                </c:pt>
                <c:pt idx="1">
                  <c:v>0.67280000000000095</c:v>
                </c:pt>
                <c:pt idx="2">
                  <c:v>0.67580000000000096</c:v>
                </c:pt>
              </c:numCache>
            </c:numRef>
          </c:val>
          <c:extLst>
            <c:ext xmlns:c16="http://schemas.microsoft.com/office/drawing/2014/chart" uri="{C3380CC4-5D6E-409C-BE32-E72D297353CC}">
              <c16:uniqueId val="{00000000-3A01-DC48-9B05-B6AEE809E571}"/>
            </c:ext>
          </c:extLst>
        </c:ser>
        <c:dLbls>
          <c:showLegendKey val="0"/>
          <c:showVal val="1"/>
          <c:showCatName val="0"/>
          <c:showSerName val="0"/>
          <c:showPercent val="0"/>
          <c:showBubbleSize val="0"/>
        </c:dLbls>
        <c:gapWidth val="219"/>
        <c:overlap val="-27"/>
        <c:axId val="265937664"/>
        <c:axId val="265939200"/>
      </c:barChart>
      <c:catAx>
        <c:axId val="265937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crossAx val="265939200"/>
        <c:crosses val="autoZero"/>
        <c:auto val="1"/>
        <c:lblAlgn val="ctr"/>
        <c:lblOffset val="100"/>
        <c:noMultiLvlLbl val="0"/>
      </c:catAx>
      <c:valAx>
        <c:axId val="265939200"/>
        <c:scaling>
          <c:orientation val="minMax"/>
          <c:min val="0"/>
        </c:scaling>
        <c:delete val="1"/>
        <c:axPos val="l"/>
        <c:numFmt formatCode="0.00%" sourceLinked="1"/>
        <c:majorTickMark val="out"/>
        <c:minorTickMark val="none"/>
        <c:tickLblPos val="nextTo"/>
        <c:crossAx val="26593766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sz="900">
          <a:solidFill>
            <a:sysClr val="windowText" lastClr="000000"/>
          </a:solidFill>
          <a:latin typeface="黑体" panose="02010609060101010101" charset="-122"/>
          <a:ea typeface="黑体" panose="02010609060101010101" charset="-122"/>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3" textRotate="1"/>
    <customShpInfo spid="_x0000_s4099"/>
    <customShpInfo spid="_x0000_s4098"/>
    <customShpInfo spid="_x0000_s4097"/>
    <customShpInfo spid="_x0000_s4100" textRotate="1"/>
    <customShpInfo spid="_x0000_s4102" textRotate="1"/>
    <customShpInfo spid="_x0000_s4101"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customXml/itemProps2.xml><?xml version="1.0" encoding="utf-8"?>
<ds:datastoreItem xmlns:ds="http://schemas.openxmlformats.org/officeDocument/2006/customXml" ds:itemID="{CC616C99-F041-994B-A147-4EFBA37550F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9418</Words>
  <Characters>53688</Characters>
  <Application>Microsoft Office Word</Application>
  <DocSecurity>0</DocSecurity>
  <Lines>447</Lines>
  <Paragraphs>125</Paragraphs>
  <ScaleCrop>false</ScaleCrop>
  <Company>微软中国</Company>
  <LinksUpToDate>false</LinksUpToDate>
  <CharactersWithSpaces>62981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liu cow</cp:lastModifiedBy>
  <cp:revision>2</cp:revision>
  <cp:lastPrinted>2019-12-22T06:54:00Z</cp:lastPrinted>
  <dcterms:created xsi:type="dcterms:W3CDTF">2019-12-30T08:42:00Z</dcterms:created>
  <dcterms:modified xsi:type="dcterms:W3CDTF">2019-12-30T08:42:00Z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