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eastAsia="黑体"/>
          <w:b/>
          <w:color w:val="000000"/>
          <w:kern w:val="0"/>
          <w:sz w:val="30"/>
          <w:szCs w:val="30"/>
        </w:rPr>
      </w:pPr>
      <w:bookmarkStart w:id="0" w:name="OLE_LINK1"/>
      <w:r>
        <w:rPr>
          <w:rFonts w:hint="eastAsia" w:eastAsia="黑体"/>
          <w:b/>
          <w:color w:val="000000"/>
          <w:kern w:val="0"/>
          <w:sz w:val="30"/>
          <w:szCs w:val="30"/>
          <w:lang w:val="en-US" w:eastAsia="zh-CN"/>
        </w:rPr>
        <w:t>宝鸡文理学院</w:t>
      </w:r>
      <w:r>
        <w:rPr>
          <w:rFonts w:eastAsia="黑体"/>
          <w:b/>
          <w:color w:val="000000"/>
          <w:kern w:val="0"/>
          <w:sz w:val="30"/>
          <w:szCs w:val="30"/>
        </w:rPr>
        <w:t>201</w:t>
      </w:r>
      <w:r>
        <w:rPr>
          <w:rFonts w:hint="eastAsia" w:eastAsia="黑体"/>
          <w:b/>
          <w:color w:val="000000"/>
          <w:kern w:val="0"/>
          <w:sz w:val="30"/>
          <w:szCs w:val="30"/>
          <w:lang w:val="en-US" w:eastAsia="zh-CN"/>
        </w:rPr>
        <w:t>9</w:t>
      </w:r>
      <w:r>
        <w:rPr>
          <w:rFonts w:hint="eastAsia" w:eastAsia="黑体"/>
          <w:b/>
          <w:color w:val="000000"/>
          <w:kern w:val="0"/>
          <w:sz w:val="30"/>
          <w:szCs w:val="30"/>
        </w:rPr>
        <w:t>年</w:t>
      </w:r>
      <w:r>
        <w:rPr>
          <w:rFonts w:hint="eastAsia" w:eastAsia="黑体"/>
          <w:b/>
          <w:color w:val="000000"/>
          <w:kern w:val="0"/>
          <w:sz w:val="30"/>
          <w:szCs w:val="30"/>
          <w:lang w:val="en-US" w:eastAsia="zh-CN"/>
        </w:rPr>
        <w:t>全日制</w:t>
      </w:r>
      <w:r>
        <w:rPr>
          <w:rFonts w:hint="eastAsia" w:eastAsia="黑体"/>
          <w:b/>
          <w:color w:val="000000"/>
          <w:kern w:val="0"/>
          <w:sz w:val="30"/>
          <w:szCs w:val="30"/>
        </w:rPr>
        <w:t>硕士研究生复试</w:t>
      </w:r>
      <w:r>
        <w:rPr>
          <w:rFonts w:hint="eastAsia" w:eastAsia="黑体"/>
          <w:b/>
          <w:color w:val="000000"/>
          <w:kern w:val="0"/>
          <w:sz w:val="30"/>
          <w:szCs w:val="30"/>
          <w:lang w:eastAsia="zh-CN"/>
        </w:rPr>
        <w:t>、</w:t>
      </w:r>
      <w:r>
        <w:rPr>
          <w:rFonts w:hint="eastAsia" w:eastAsia="黑体"/>
          <w:b/>
          <w:color w:val="000000"/>
          <w:kern w:val="0"/>
          <w:sz w:val="30"/>
          <w:szCs w:val="30"/>
        </w:rPr>
        <w:t>加试</w:t>
      </w:r>
      <w:r>
        <w:rPr>
          <w:rFonts w:hint="eastAsia" w:eastAsia="黑体"/>
          <w:b/>
          <w:color w:val="000000"/>
          <w:kern w:val="0"/>
          <w:sz w:val="30"/>
          <w:szCs w:val="30"/>
          <w:lang w:val="en-US" w:eastAsia="zh-CN"/>
        </w:rPr>
        <w:t>考试说明</w:t>
      </w:r>
      <w:bookmarkStart w:id="1" w:name="_GoBack"/>
      <w:bookmarkEnd w:id="1"/>
    </w:p>
    <w:p>
      <w:pPr>
        <w:widowControl/>
        <w:numPr>
          <w:ilvl w:val="0"/>
          <w:numId w:val="1"/>
        </w:numPr>
        <w:shd w:val="clear" w:color="auto" w:fill="FFFFFF"/>
        <w:spacing w:line="360" w:lineRule="auto"/>
        <w:jc w:val="left"/>
        <w:rPr>
          <w:rFonts w:hint="eastAsia" w:eastAsia="黑体"/>
          <w:b/>
          <w:color w:val="000000"/>
          <w:kern w:val="0"/>
          <w:sz w:val="24"/>
        </w:rPr>
      </w:pPr>
      <w:r>
        <w:rPr>
          <w:rFonts w:hint="eastAsia" w:eastAsia="黑体"/>
          <w:b/>
          <w:color w:val="000000"/>
          <w:kern w:val="0"/>
          <w:sz w:val="24"/>
        </w:rPr>
        <w:t>学术型硕士</w:t>
      </w:r>
    </w:p>
    <w:tbl>
      <w:tblPr>
        <w:tblStyle w:val="12"/>
        <w:tblW w:w="10589" w:type="dxa"/>
        <w:jc w:val="center"/>
        <w:tblInd w:w="-23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645"/>
        <w:gridCol w:w="3877"/>
        <w:gridCol w:w="4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二级学科</w:t>
            </w:r>
          </w:p>
        </w:tc>
        <w:tc>
          <w:tcPr>
            <w:tcW w:w="3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复试科目</w:t>
            </w:r>
            <w:r>
              <w:rPr>
                <w:rFonts w:hint="eastAsia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参考书目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加试科目</w:t>
            </w:r>
            <w:r>
              <w:rPr>
                <w:rFonts w:hint="eastAsia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参考书目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  <w:jc w:val="center"/>
        </w:trPr>
        <w:tc>
          <w:tcPr>
            <w:tcW w:w="9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0101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哲学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010101马克思主义哲学</w:t>
            </w:r>
          </w:p>
        </w:tc>
        <w:tc>
          <w:tcPr>
            <w:tcW w:w="38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  <w:t>马克思主义哲学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  <w:t>史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  <w:t>《马克思主义哲学史》（马工程）</w:t>
            </w:r>
          </w:p>
        </w:tc>
        <w:tc>
          <w:tcPr>
            <w:tcW w:w="41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①辩证唯物主义和历史唯物主义：《辩证唯物主义和历史唯物主义原理》，中国人民大学出版社2004年版。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②中西哲学通论：《中国哲学史》（马工程教材）、《西方哲学史》（马工程教材）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exact"/>
          <w:jc w:val="center"/>
        </w:trPr>
        <w:tc>
          <w:tcPr>
            <w:tcW w:w="9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010102中国哲学</w:t>
            </w:r>
          </w:p>
        </w:tc>
        <w:tc>
          <w:tcPr>
            <w:tcW w:w="3877" w:type="dxa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  <w:t>中国哲学史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  <w:t>《中国哲学史》（马工程）</w:t>
            </w:r>
          </w:p>
        </w:tc>
        <w:tc>
          <w:tcPr>
            <w:tcW w:w="41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  <w:jc w:val="center"/>
        </w:trPr>
        <w:tc>
          <w:tcPr>
            <w:tcW w:w="9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010105伦理学</w:t>
            </w:r>
          </w:p>
        </w:tc>
        <w:tc>
          <w:tcPr>
            <w:tcW w:w="38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伦理学原理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《伦理学》（马工程）</w:t>
            </w:r>
          </w:p>
        </w:tc>
        <w:tc>
          <w:tcPr>
            <w:tcW w:w="41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exact"/>
          <w:jc w:val="center"/>
        </w:trPr>
        <w:tc>
          <w:tcPr>
            <w:tcW w:w="9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0401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教育学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040101教育学原理</w:t>
            </w:r>
          </w:p>
        </w:tc>
        <w:tc>
          <w:tcPr>
            <w:tcW w:w="38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教育学原理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叶澜主编 ：《教育概论》，人民教育出版社，2006。</w:t>
            </w:r>
          </w:p>
        </w:tc>
        <w:tc>
          <w:tcPr>
            <w:tcW w:w="41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①教育综合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王道俊、郭文安主编；《教育学》(第七版)，人民教育出版社，2016年；孙培青主编；《中国教育史》，华东师范大学出版社，2009年；张斌贤、王晨主编；《外国教育史》(第二版)，教育科学出版社，2015年；张大均主编；《教育心理学》(第三版)，人民教育出版社，2015年；</w:t>
            </w: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②教育科学研究方法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《中小学教育科学研究方法》，蒋泓洁主编，北京师范大学出版社，2010.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exact"/>
          <w:jc w:val="center"/>
        </w:trPr>
        <w:tc>
          <w:tcPr>
            <w:tcW w:w="9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040102课程与教学论</w:t>
            </w:r>
          </w:p>
        </w:tc>
        <w:tc>
          <w:tcPr>
            <w:tcW w:w="3877" w:type="dxa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教学论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陈晓端，张立昌主编：《课程与教学通论》，陕西师范大学出版社，2016。</w:t>
            </w:r>
          </w:p>
        </w:tc>
        <w:tc>
          <w:tcPr>
            <w:tcW w:w="41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exact"/>
          <w:jc w:val="center"/>
        </w:trPr>
        <w:tc>
          <w:tcPr>
            <w:tcW w:w="9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040103教育史</w:t>
            </w:r>
          </w:p>
        </w:tc>
        <w:tc>
          <w:tcPr>
            <w:tcW w:w="38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中外教育发展史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 xml:space="preserve">①孙培青、杜成宪主编：《中国教育史》，华东师范大学出版，2009。 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②吴式颖，李明德等主编：《外国教育史教程》，人民教育出版社，2015。</w:t>
            </w:r>
          </w:p>
        </w:tc>
        <w:tc>
          <w:tcPr>
            <w:tcW w:w="41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  <w:jc w:val="center"/>
        </w:trPr>
        <w:tc>
          <w:tcPr>
            <w:tcW w:w="9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0501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中国语言文学</w:t>
            </w:r>
          </w:p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050101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文艺学</w:t>
            </w:r>
          </w:p>
        </w:tc>
        <w:tc>
          <w:tcPr>
            <w:tcW w:w="3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top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文学理论：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童庆炳；《文学理论教程》（第四版），高等教育出版社，2008年；</w:t>
            </w:r>
          </w:p>
        </w:tc>
        <w:tc>
          <w:tcPr>
            <w:tcW w:w="41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①文学评论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童庆炳；《文学理论教程》（第四版），高等教育出版社，2008年；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②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文学史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基础：袁行霈《中国文学史》（第二版），高等教育出版社，2014年；郁贤皓《中国古代文学作品选》，高等教育出版社，2010年；朱栋霖《中国现代文学史》，北京大学出版社，2011年；洪子诚《中国当代文学史》，北京大学出版社，2010年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郑克鲁《外国文学史》（上下册）（修订版），高等教育出版社，2006年；陈惇、刘象愚《比较文学概论》（第二版），北京师范大学，2006年；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exac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 xml:space="preserve">050103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汉语言文字学</w:t>
            </w:r>
          </w:p>
        </w:tc>
        <w:tc>
          <w:tcPr>
            <w:tcW w:w="3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语言学概论：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①胡安顺、郭芹纳《古代汉语》，中华书局，2007；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②叶蜚声、徐通锵《语言学纲要》，北大出版社，2010；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③黄伯荣、廖旭东《现代汉语增订六版》（上下册），高等教育出版社，2017年；</w:t>
            </w:r>
          </w:p>
        </w:tc>
        <w:tc>
          <w:tcPr>
            <w:tcW w:w="4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exac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 xml:space="preserve">050105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中国古代文学</w:t>
            </w:r>
          </w:p>
        </w:tc>
        <w:tc>
          <w:tcPr>
            <w:tcW w:w="3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中国文学史：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①袁行霈《中国文学史》，高等教育出版社，2005；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②郁贤皓《中国古代文学作品选》，高等教育出版社，2010；</w:t>
            </w:r>
          </w:p>
        </w:tc>
        <w:tc>
          <w:tcPr>
            <w:tcW w:w="4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exac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050106  中国现当代文学</w:t>
            </w:r>
          </w:p>
        </w:tc>
        <w:tc>
          <w:tcPr>
            <w:tcW w:w="3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中国现当代文学：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①朱栋霖《中国现代文学史》，北京大学出版社，2011；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②洪子诚《中国当代文学史》，北京大学出版社，2010</w:t>
            </w:r>
          </w:p>
        </w:tc>
        <w:tc>
          <w:tcPr>
            <w:tcW w:w="4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exac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050108  比较文学与世界文学</w:t>
            </w:r>
          </w:p>
        </w:tc>
        <w:tc>
          <w:tcPr>
            <w:tcW w:w="3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外国文学：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①郑克鲁《外国文学史》（修订版），高等教育出版社，2006；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②陈惇、刘象愚《比较文学概论》，北京师范大学</w:t>
            </w:r>
          </w:p>
        </w:tc>
        <w:tc>
          <w:tcPr>
            <w:tcW w:w="41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9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二级学科</w:t>
            </w:r>
          </w:p>
        </w:tc>
        <w:tc>
          <w:tcPr>
            <w:tcW w:w="38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复试科目</w:t>
            </w:r>
            <w:r>
              <w:rPr>
                <w:rFonts w:hint="eastAsia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参考书目</w:t>
            </w:r>
          </w:p>
        </w:tc>
        <w:tc>
          <w:tcPr>
            <w:tcW w:w="41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加试科目</w:t>
            </w:r>
            <w:r>
              <w:rPr>
                <w:rFonts w:hint="eastAsia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参考书目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9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0701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数学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070101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基础数学</w:t>
            </w:r>
          </w:p>
        </w:tc>
        <w:tc>
          <w:tcPr>
            <w:tcW w:w="38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41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①数学基础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王高雄，周之铭等.常微分方程.北京：高等教育出版社，2006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）；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②数学应用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李庆扬, 王能超, 易大义. 数值分析.第5版[M]. 清华大学出版社, 2008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9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070102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计算数学</w:t>
            </w:r>
          </w:p>
        </w:tc>
        <w:tc>
          <w:tcPr>
            <w:tcW w:w="387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  <w:tc>
          <w:tcPr>
            <w:tcW w:w="41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exact"/>
          <w:jc w:val="center"/>
        </w:trPr>
        <w:tc>
          <w:tcPr>
            <w:tcW w:w="9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070104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应用数学</w:t>
            </w:r>
          </w:p>
        </w:tc>
        <w:tc>
          <w:tcPr>
            <w:tcW w:w="38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  <w:tc>
          <w:tcPr>
            <w:tcW w:w="41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9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0705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物理学</w:t>
            </w: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070201  理论物理</w:t>
            </w:r>
          </w:p>
        </w:tc>
        <w:tc>
          <w:tcPr>
            <w:tcW w:w="387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413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原子物理学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褚圣麟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；《原子物理学》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，高等教育出版社，版本号：1979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年6月第一版（2016.12重印）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光学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姚启钧；《光学教程》（第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版），高等教育出版社，2010年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exact"/>
          <w:jc w:val="center"/>
        </w:trPr>
        <w:tc>
          <w:tcPr>
            <w:tcW w:w="9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070205  凝聚态物理</w:t>
            </w:r>
          </w:p>
        </w:tc>
        <w:tc>
          <w:tcPr>
            <w:tcW w:w="38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  <w:tc>
          <w:tcPr>
            <w:tcW w:w="4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9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070207  光学</w:t>
            </w:r>
          </w:p>
        </w:tc>
        <w:tc>
          <w:tcPr>
            <w:tcW w:w="38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  <w:tc>
          <w:tcPr>
            <w:tcW w:w="4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9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0703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化学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070301无机化学</w:t>
            </w:r>
          </w:p>
        </w:tc>
        <w:tc>
          <w:tcPr>
            <w:tcW w:w="38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分析化学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实验；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有机化学实验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1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①普通化学：《普通化学》第六版，徐端钧，浙江大学普通化学教研组，高等教育出版社；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②基础化学实验综合：基础化学实验上册（无机和分析），吉林大学，徐家宁等主编。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9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070302分析化学</w:t>
            </w:r>
          </w:p>
        </w:tc>
        <w:tc>
          <w:tcPr>
            <w:tcW w:w="387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9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070303有机化学</w:t>
            </w:r>
          </w:p>
        </w:tc>
        <w:tc>
          <w:tcPr>
            <w:tcW w:w="387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070304物理化学</w:t>
            </w:r>
          </w:p>
        </w:tc>
        <w:tc>
          <w:tcPr>
            <w:tcW w:w="38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1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9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0705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地理学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070501 自然地理学</w:t>
            </w:r>
          </w:p>
        </w:tc>
        <w:tc>
          <w:tcPr>
            <w:tcW w:w="38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综合地理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①赵荣等《人文地理学》第二版，高等教育出版社,2006；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②毛赞猷等《新编地图学教程》第二版，高等教育出版社，2008；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③伍光和等《自然地理学》第四版， 高等教育出版社，2008。</w:t>
            </w:r>
          </w:p>
        </w:tc>
        <w:tc>
          <w:tcPr>
            <w:tcW w:w="41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①综合自然地理学：伍光和等《自然地理学》第四版，高等教育出版社，2008。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②区域地理：赵济，陈传康等《中国地理》第一版，高等教育出版社，1999年；杨青山等《世界地理》第一版，高等教育出版社，2004年。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070502 人文地理学</w:t>
            </w:r>
          </w:p>
        </w:tc>
        <w:tc>
          <w:tcPr>
            <w:tcW w:w="38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4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exac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1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070503地图学与地理信息系统</w:t>
            </w:r>
          </w:p>
        </w:tc>
        <w:tc>
          <w:tcPr>
            <w:tcW w:w="38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41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</w:tbl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left"/>
        <w:rPr>
          <w:rFonts w:hint="eastAsia" w:eastAsia="黑体"/>
          <w:b/>
          <w:color w:val="000000"/>
          <w:kern w:val="0"/>
          <w:sz w:val="24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left"/>
        <w:rPr>
          <w:rFonts w:hint="eastAsia" w:eastAsia="黑体"/>
          <w:b/>
          <w:color w:val="000000"/>
          <w:kern w:val="0"/>
          <w:sz w:val="24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left"/>
        <w:rPr>
          <w:rFonts w:hint="eastAsia" w:eastAsia="黑体"/>
          <w:b/>
          <w:color w:val="000000"/>
          <w:kern w:val="0"/>
          <w:sz w:val="24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left"/>
        <w:rPr>
          <w:rFonts w:hint="eastAsia" w:eastAsia="黑体"/>
          <w:b/>
          <w:color w:val="000000"/>
          <w:kern w:val="0"/>
          <w:sz w:val="24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left"/>
        <w:rPr>
          <w:rFonts w:hint="eastAsia" w:eastAsia="黑体"/>
          <w:b/>
          <w:color w:val="000000"/>
          <w:kern w:val="0"/>
          <w:sz w:val="24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left"/>
        <w:rPr>
          <w:rFonts w:hint="eastAsia" w:eastAsia="黑体"/>
          <w:b/>
          <w:color w:val="000000"/>
          <w:kern w:val="0"/>
          <w:sz w:val="24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left"/>
        <w:rPr>
          <w:rFonts w:hint="eastAsia" w:eastAsia="黑体"/>
          <w:b/>
          <w:color w:val="000000"/>
          <w:kern w:val="0"/>
          <w:sz w:val="24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left"/>
        <w:rPr>
          <w:rFonts w:hint="eastAsia" w:eastAsia="黑体"/>
          <w:b/>
          <w:color w:val="000000"/>
          <w:kern w:val="0"/>
          <w:sz w:val="24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left"/>
        <w:rPr>
          <w:rFonts w:hint="eastAsia" w:eastAsia="黑体"/>
          <w:b/>
          <w:color w:val="000000"/>
          <w:kern w:val="0"/>
          <w:sz w:val="24"/>
        </w:rPr>
      </w:pP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left"/>
        <w:rPr>
          <w:rFonts w:hint="eastAsia" w:eastAsia="黑体"/>
          <w:b/>
          <w:color w:val="000000"/>
          <w:kern w:val="0"/>
          <w:sz w:val="24"/>
        </w:rPr>
      </w:pPr>
    </w:p>
    <w:bookmarkEnd w:id="0"/>
    <w:p>
      <w:pPr>
        <w:widowControl/>
        <w:spacing w:line="360" w:lineRule="auto"/>
        <w:jc w:val="left"/>
        <w:rPr>
          <w:rFonts w:eastAsia="黑体"/>
          <w:b/>
          <w:color w:val="000000"/>
          <w:kern w:val="0"/>
          <w:sz w:val="24"/>
        </w:rPr>
      </w:pPr>
      <w:r>
        <w:rPr>
          <w:rFonts w:hint="eastAsia" w:eastAsia="黑体"/>
          <w:b/>
          <w:color w:val="000000"/>
          <w:kern w:val="0"/>
          <w:sz w:val="24"/>
          <w:lang w:val="en-US" w:eastAsia="zh-CN"/>
        </w:rPr>
        <w:t>2.</w:t>
      </w:r>
      <w:r>
        <w:rPr>
          <w:rFonts w:hint="eastAsia" w:eastAsia="黑体"/>
          <w:b/>
          <w:color w:val="000000"/>
          <w:kern w:val="0"/>
          <w:sz w:val="24"/>
        </w:rPr>
        <w:t>专业硕士</w:t>
      </w:r>
    </w:p>
    <w:tbl>
      <w:tblPr>
        <w:tblStyle w:val="12"/>
        <w:tblW w:w="10450" w:type="dxa"/>
        <w:jc w:val="center"/>
        <w:tblInd w:w="-15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110"/>
        <w:gridCol w:w="3234"/>
        <w:gridCol w:w="54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  <w:t>类别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  <w:t>领域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  <w:t>复试科目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  <w:t>加试科目及备注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0451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教育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硕士</w:t>
            </w:r>
          </w:p>
          <w:p>
            <w:pPr>
              <w:widowControl/>
              <w:spacing w:line="42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045101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教育管理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①教育科学研究方法：《中小学教育科学研究方法》，蒋泓洁主编，北京师范大学出版社，2010.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②教育心理学：《当代教育心理学（第二版）》 ，陈琦 刘儒德主编，北京师范大学出版社，2009.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045102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学科教学（思政）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①马克思主义哲学原理：《辩证唯物主义与历史唯物主义原理》（第五版），李秀林主编，中国人民大学出版社，2004年11月出版；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 xml:space="preserve">②科学社会主义：《科学社会主义教程》，赵曜主编，中共中央党校出版社，2004年9月出版；   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045103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学科教学（语文）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语文教学论：</w:t>
            </w: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①王玉辉、王雅萍《语文课程与教学论》，北京师范大学出版社，2012年；</w:t>
            </w: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②徐中玉《大学语文》（第十版），华东师范大学出版社，2013年；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①文学评论：童庆炳；《文学理论教程》（第四版），高等教育出版社，2008年；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②汉语基础：胡安顺、郭芹纳《古代汉语》，中华书局，2007；黄伯荣、廖旭东《现代汉语增订六版》（上下册），高等教育出版社，2017年；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045104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学科教学（数学）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①高等代数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北京大学数学系前代数小组, 王萼芳, 石生. 高等代数[M]. 高等教育出版社, 2013.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②数学分析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华东师范大学数学系编. 数学分析(上、下册)第四版. 北京：高等教育出版社，2010,6.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045105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学科教学（物理）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①量子力学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：周世勋；《量子力学》(第2版),高等教育出版社；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②理论力学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：周衍柏；《理论力学教程》(第3版),高等教育出版社；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045106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学科教学（化学）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①普通化学：《普通化学》第六版，徐端钧，浙江大学普通化学教研组，高等教育出版社；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②基础化学实验综合：基础化学实验上册（无机和分析），吉林大学，徐家宁等主编。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045108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学科教学（英语）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①综合英语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张汉熙，王立礼《高级英语》（修订本）（重排版），外语教学与研究出版社，2010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；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章振邦 《新编英语语法教程》（学生用书），上海外语教育出版社，2013.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② 翻译与写作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张春柏 《英汉汉英翻译教程》，北京：高等教育出版社，2003年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；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丁往道，吴冰 《英语写作基础教程》，高等教育出版社，2005年.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045109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学科教学（历史）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面试内容：中学历史教学论</w:t>
            </w: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①于友西，赵亚夫：《中学历史教学法》（第四版），高等教育出版社，2017年。</w:t>
            </w: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②赵克礼：《中学历史教师教学技能》，陕西师范大学出版社，2014年。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①世界史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吴于堇，齐世荣：《世界史》，高等教育出版社，2011年。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②历史文选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赵淡元：《中国历史要籍介绍及选读》，高等教育出版社，2011年。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  <w:t>类别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  <w:t>领域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  <w:t>复试科目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  <w:t>加试科目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7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045110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学科教学（地理）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地理教学论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①李家清等《新概念地理教学论》，北京大学出版社,2009。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②赵济，陈传康等《中国地理》第一版，高等教育出版社，1999。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①综合自然地理学：伍光和等《自然地理学》第四版，高等教育出版社，2008。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②区域地理：赵济，陈传康等《中国地理》第一版，高等教育出版社，1999年；杨青山等《世界地理》第一版，高等教育出版社，2004年。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7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045111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学科教学（音乐）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面试；音乐专业技能综合（声乐演唱或器乐演奏）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①乐理：李重光 编著：《音乐理论基础》，人民音乐出版社，2013年版。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②中外音乐史：于润洋 主编：《西方音乐通史》，上海音乐出版社，2010年版。ISBN：9787805539508；孙继南、周柱铨 主编：《中国音乐通史简编》，山东教育出版社，2012年版。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045113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学科教学（美术）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①美术理论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  <w:t>：彭吉象；《艺术学概论》（第三版），北京大学出版社，2006年；薄松年；《中国美术史教程》，人民美术出版社2008年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fr-FR" w:eastAsia="zh-CN"/>
              </w:rPr>
              <w:t>；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  <w:t>李春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fr-FR" w:eastAsia="zh-CN"/>
              </w:rPr>
              <w:t>，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  <w:t>《西方美术史教程》，人民美术出版社，2008年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②素描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045115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小学教育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①教育科学研究方法：《中小学教育科学研究方法》，蒋泓洁主编，北京师范大学出版社，2010.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②教学论：《现代教学论基础》，裴娣娜主编，人民教育出版社,2015.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045116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心理健康教育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①普通心理学：《普通心理学（第四版）》，彭聃龄主编，北京师范大学出版社，2012.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②发展心理学：《发展心理学》，林崇德主编，人民教育出版社，2009.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0852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工程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085201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机械工程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①工程材料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：《工程材料》（第三版）朱张校 清华大学出版社；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②机械原理：《机械原理》（第七版）孙桓 高等教育出版社；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085202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光学工程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①应用光学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：安连生；《应用光学》(第3版)，北京理工大学出版社；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②通信原理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：樊昌信；《通信原理》(第3版)，电子工业出版社；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81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125400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旅游管理硕士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思想政治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：参考大学马工程四门课程教材；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②旅游资源开发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default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马耀峰，甘枝茂：《旅游资源开发与管理》（第三版），南开大学出版社，2013年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default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赵西萍：《旅游市场营销学》（第二版），高等教育出版社，2011年。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①旅游学概论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王德刚：《旅游学概论》（第三版），清华大学出版社，2012年。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②旅游经济学</w:t>
            </w: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田里：《旅游经济学》（第三版），高等教育出版社，2016年。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1351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艺术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135107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美术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extDirection w:val="lrTb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专业写生</w:t>
            </w:r>
          </w:p>
        </w:tc>
        <w:tc>
          <w:tcPr>
            <w:tcW w:w="5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extDirection w:val="lrTb"/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①素描</w:t>
            </w: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②美术鉴赏与评论：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孔新苗；《美术鉴赏与批评》，浙江美术出版社；2012；彭吉象；《艺术学概论》（第三版），北京大学出版社，2006年；</w:t>
            </w:r>
          </w:p>
        </w:tc>
      </w:tr>
    </w:tbl>
    <w:p>
      <w:pPr>
        <w:rPr>
          <w:lang w:val="fr-FR"/>
        </w:rPr>
      </w:pPr>
    </w:p>
    <w:sectPr>
      <w:footerReference r:id="rId3" w:type="default"/>
      <w:pgSz w:w="11906" w:h="16838"/>
      <w:pgMar w:top="1276" w:right="993" w:bottom="1523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ˎ̥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Bahnschrift Light">
    <w:panose1 w:val="020B0502040204020203"/>
    <w:charset w:val="00"/>
    <w:family w:val="auto"/>
    <w:pitch w:val="default"/>
    <w:sig w:usb0="80000047" w:usb1="00000000" w:usb2="00000000" w:usb3="00000000" w:csb0="00000001" w:csb1="00000000"/>
  </w:font>
  <w:font w:name="Bahnschrift SemiBold">
    <w:panose1 w:val="020B0502040204020203"/>
    <w:charset w:val="00"/>
    <w:family w:val="auto"/>
    <w:pitch w:val="default"/>
    <w:sig w:usb0="80000047" w:usb1="00000000" w:usb2="00000000" w:usb3="00000000" w:csb0="00000001" w:csb1="00000000"/>
  </w:font>
  <w:font w:name="Bahnschrift SemiLight">
    <w:panose1 w:val="020B0502040204020203"/>
    <w:charset w:val="00"/>
    <w:family w:val="auto"/>
    <w:pitch w:val="default"/>
    <w:sig w:usb0="80000047" w:usb1="00000000" w:usb2="00000000" w:usb3="00000000" w:csb0="00000001" w:csb1="00000000"/>
  </w:font>
  <w:font w:name="C39HrP48DmTt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中等线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??">
    <w:altName w:val="Cambria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d">
    <w:altName w:val="PMingLiU-ExtB"/>
    <w:panose1 w:val="02030509050101010101"/>
    <w:charset w:val="00"/>
    <w:family w:val="auto"/>
    <w:pitch w:val="default"/>
    <w:sig w:usb0="00000000" w:usb1="00000000" w:usb2="00000000" w:usb3="00000000" w:csb0="00000020" w:csb1="002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0coStwEAAFc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075C7A"/>
    <w:multiLevelType w:val="singleLevel"/>
    <w:tmpl w:val="5B075C7A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D1D"/>
    <w:rsid w:val="00033279"/>
    <w:rsid w:val="0003722C"/>
    <w:rsid w:val="00043EC5"/>
    <w:rsid w:val="000A7B22"/>
    <w:rsid w:val="000B0D6B"/>
    <w:rsid w:val="000C13A3"/>
    <w:rsid w:val="00124236"/>
    <w:rsid w:val="001267FB"/>
    <w:rsid w:val="001D3435"/>
    <w:rsid w:val="001E45E6"/>
    <w:rsid w:val="002263D5"/>
    <w:rsid w:val="002522FA"/>
    <w:rsid w:val="00254C0F"/>
    <w:rsid w:val="002A5F9F"/>
    <w:rsid w:val="002B2D9F"/>
    <w:rsid w:val="002B7A0C"/>
    <w:rsid w:val="00332C70"/>
    <w:rsid w:val="003346DB"/>
    <w:rsid w:val="003359D8"/>
    <w:rsid w:val="00380A82"/>
    <w:rsid w:val="003D331E"/>
    <w:rsid w:val="004C0B74"/>
    <w:rsid w:val="004D10DD"/>
    <w:rsid w:val="00507D1D"/>
    <w:rsid w:val="0053525A"/>
    <w:rsid w:val="00565F0A"/>
    <w:rsid w:val="00581BBA"/>
    <w:rsid w:val="0059385C"/>
    <w:rsid w:val="00616872"/>
    <w:rsid w:val="006C1EA6"/>
    <w:rsid w:val="006E0447"/>
    <w:rsid w:val="00723D8F"/>
    <w:rsid w:val="00783823"/>
    <w:rsid w:val="0084331C"/>
    <w:rsid w:val="008944A8"/>
    <w:rsid w:val="00926D82"/>
    <w:rsid w:val="00946339"/>
    <w:rsid w:val="009A1D0B"/>
    <w:rsid w:val="009D0208"/>
    <w:rsid w:val="009F7983"/>
    <w:rsid w:val="00A07CC2"/>
    <w:rsid w:val="00A13AA6"/>
    <w:rsid w:val="00AF13A4"/>
    <w:rsid w:val="00AF4516"/>
    <w:rsid w:val="00C43C2D"/>
    <w:rsid w:val="00C5029A"/>
    <w:rsid w:val="00C72E75"/>
    <w:rsid w:val="00CE1432"/>
    <w:rsid w:val="00D11449"/>
    <w:rsid w:val="00D17FD6"/>
    <w:rsid w:val="00DB60E7"/>
    <w:rsid w:val="00E26DFD"/>
    <w:rsid w:val="00E36A67"/>
    <w:rsid w:val="00E41DBB"/>
    <w:rsid w:val="00E70920"/>
    <w:rsid w:val="00EE452D"/>
    <w:rsid w:val="00EE4F4F"/>
    <w:rsid w:val="00F20CA2"/>
    <w:rsid w:val="00F32084"/>
    <w:rsid w:val="00F544FD"/>
    <w:rsid w:val="00F86921"/>
    <w:rsid w:val="00FF2B02"/>
    <w:rsid w:val="04693BB8"/>
    <w:rsid w:val="0E352F84"/>
    <w:rsid w:val="0F557C1C"/>
    <w:rsid w:val="132E7D71"/>
    <w:rsid w:val="16E958D8"/>
    <w:rsid w:val="196C5E29"/>
    <w:rsid w:val="1E4D6AE8"/>
    <w:rsid w:val="284B4F93"/>
    <w:rsid w:val="2BDB5138"/>
    <w:rsid w:val="318A487C"/>
    <w:rsid w:val="32610046"/>
    <w:rsid w:val="399470A7"/>
    <w:rsid w:val="3C24687D"/>
    <w:rsid w:val="3FD7574A"/>
    <w:rsid w:val="3FF30457"/>
    <w:rsid w:val="42711537"/>
    <w:rsid w:val="43A1612E"/>
    <w:rsid w:val="43B51D9B"/>
    <w:rsid w:val="46BB4160"/>
    <w:rsid w:val="47C506ED"/>
    <w:rsid w:val="4B1E65DF"/>
    <w:rsid w:val="4EA52D3D"/>
    <w:rsid w:val="52773686"/>
    <w:rsid w:val="69315808"/>
    <w:rsid w:val="6E1017CA"/>
    <w:rsid w:val="6EA70A2B"/>
    <w:rsid w:val="73A5345C"/>
    <w:rsid w:val="773C111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8"/>
    <w:qFormat/>
    <w:uiPriority w:val="0"/>
    <w:rPr>
      <w:rFonts w:ascii="宋体" w:hAnsi="Courier New" w:cs="Courier New" w:eastAsiaTheme="minorEastAsia"/>
      <w:szCs w:val="21"/>
    </w:rPr>
  </w:style>
  <w:style w:type="paragraph" w:styleId="3">
    <w:name w:val="Balloon Text"/>
    <w:basedOn w:val="1"/>
    <w:link w:val="20"/>
    <w:qFormat/>
    <w:uiPriority w:val="0"/>
    <w:rPr>
      <w:sz w:val="18"/>
      <w:szCs w:val="18"/>
    </w:rPr>
  </w:style>
  <w:style w:type="paragraph" w:styleId="4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 w:line="372" w:lineRule="auto"/>
      <w:jc w:val="left"/>
    </w:pPr>
    <w:rPr>
      <w:rFonts w:ascii="宋体" w:hAnsi="宋体" w:cs="宋体"/>
      <w:kern w:val="0"/>
      <w:sz w:val="18"/>
      <w:szCs w:val="18"/>
    </w:rPr>
  </w:style>
  <w:style w:type="paragraph" w:styleId="7">
    <w:name w:val="Title"/>
    <w:basedOn w:val="1"/>
    <w:next w:val="1"/>
    <w:link w:val="22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table" w:styleId="13">
    <w:name w:val="Table Grid"/>
    <w:basedOn w:val="12"/>
    <w:qFormat/>
    <w:uiPriority w:val="0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character" w:customStyle="1" w:styleId="14">
    <w:name w:val="页眉 字符"/>
    <w:basedOn w:val="8"/>
    <w:link w:val="5"/>
    <w:qFormat/>
    <w:uiPriority w:val="0"/>
    <w:rPr>
      <w:sz w:val="18"/>
      <w:szCs w:val="18"/>
    </w:rPr>
  </w:style>
  <w:style w:type="character" w:customStyle="1" w:styleId="15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6">
    <w:name w:val="列出段落1"/>
    <w:basedOn w:val="1"/>
    <w:qFormat/>
    <w:uiPriority w:val="34"/>
    <w:pPr>
      <w:adjustRightInd w:val="0"/>
      <w:spacing w:line="312" w:lineRule="atLeast"/>
      <w:ind w:firstLine="420" w:firstLineChars="200"/>
    </w:pPr>
    <w:rPr>
      <w:kern w:val="0"/>
      <w:szCs w:val="20"/>
    </w:rPr>
  </w:style>
  <w:style w:type="character" w:customStyle="1" w:styleId="17">
    <w:name w:val="c13"/>
    <w:basedOn w:val="8"/>
    <w:qFormat/>
    <w:uiPriority w:val="0"/>
  </w:style>
  <w:style w:type="character" w:customStyle="1" w:styleId="18">
    <w:name w:val="纯文本 字符"/>
    <w:basedOn w:val="8"/>
    <w:link w:val="2"/>
    <w:qFormat/>
    <w:uiPriority w:val="0"/>
    <w:rPr>
      <w:rFonts w:ascii="宋体" w:hAnsi="Courier New" w:cs="Courier New"/>
      <w:szCs w:val="21"/>
    </w:rPr>
  </w:style>
  <w:style w:type="character" w:customStyle="1" w:styleId="19">
    <w:name w:val="纯文本 Char1"/>
    <w:basedOn w:val="8"/>
    <w:qFormat/>
    <w:uiPriority w:val="0"/>
    <w:rPr>
      <w:rFonts w:ascii="宋体" w:hAnsi="Courier New" w:eastAsia="宋体" w:cs="Courier New"/>
      <w:szCs w:val="21"/>
    </w:rPr>
  </w:style>
  <w:style w:type="character" w:customStyle="1" w:styleId="20">
    <w:name w:val="批注框文本 字符"/>
    <w:basedOn w:val="8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gray1"/>
    <w:basedOn w:val="8"/>
    <w:qFormat/>
    <w:uiPriority w:val="0"/>
    <w:rPr>
      <w:color w:val="333333"/>
    </w:rPr>
  </w:style>
  <w:style w:type="character" w:customStyle="1" w:styleId="22">
    <w:name w:val="标题 字符"/>
    <w:basedOn w:val="8"/>
    <w:link w:val="7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23">
    <w:name w:val="apple-converted-space"/>
    <w:basedOn w:val="8"/>
    <w:qFormat/>
    <w:uiPriority w:val="0"/>
  </w:style>
  <w:style w:type="paragraph" w:customStyle="1" w:styleId="24">
    <w:name w:val="reader-word-layer reader-word-s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List Paragraph"/>
    <w:basedOn w:val="1"/>
    <w:qFormat/>
    <w:uiPriority w:val="99"/>
    <w:pPr>
      <w:ind w:firstLine="420" w:firstLineChars="200"/>
    </w:pPr>
  </w:style>
  <w:style w:type="paragraph" w:customStyle="1" w:styleId="26">
    <w:name w:val="列出段落2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5FD689-17BE-4A9E-9CA3-2C2EB7D8FF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bwl</Company>
  <Pages>5</Pages>
  <Words>570</Words>
  <Characters>3249</Characters>
  <Lines>27</Lines>
  <Paragraphs>7</Paragraphs>
  <ScaleCrop>false</ScaleCrop>
  <LinksUpToDate>false</LinksUpToDate>
  <CharactersWithSpaces>3812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2017-03-02T07:23:00Z</dcterms:created>
  <dc:creator>Administrator</dc:creator>
  <cp:lastModifiedBy>Administrator</cp:lastModifiedBy>
  <cp:lastPrinted>2018-04-18T09:09:00Z</cp:lastPrinted>
  <dcterms:modified xsi:type="dcterms:W3CDTF">2018-06-06T07:37:37Z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